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3D" w:rsidRDefault="00D72C3D" w:rsidP="00D72C3D">
      <w:pPr>
        <w:spacing w:after="0"/>
        <w:rPr>
          <w:rFonts w:ascii="Tahoma" w:eastAsia="Arial Unicode MS" w:hAnsi="Tahoma" w:cs="Calibri"/>
          <w:b/>
          <w:spacing w:val="10"/>
          <w:sz w:val="24"/>
          <w:szCs w:val="24"/>
        </w:rPr>
      </w:pPr>
      <w:r>
        <w:rPr>
          <w:rFonts w:ascii="Tahoma" w:hAnsi="Tahoma" w:cs="Arial"/>
          <w:b/>
          <w:sz w:val="24"/>
          <w:szCs w:val="24"/>
        </w:rPr>
        <w:t xml:space="preserve">                </w:t>
      </w:r>
      <w:r>
        <w:rPr>
          <w:rFonts w:ascii="Tahoma" w:hAnsi="Tahoma"/>
          <w:noProof/>
          <w:sz w:val="24"/>
          <w:szCs w:val="24"/>
        </w:rPr>
        <w:drawing>
          <wp:inline distT="0" distB="0" distL="0" distR="0">
            <wp:extent cx="438150" cy="58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D" w:rsidRPr="00FC2DBC" w:rsidRDefault="00D72C3D" w:rsidP="00D72C3D">
      <w:pPr>
        <w:spacing w:after="0"/>
        <w:rPr>
          <w:rFonts w:ascii="Tahoma" w:eastAsia="Arial Unicode MS" w:hAnsi="Tahoma" w:cs="Calibri"/>
          <w:spacing w:val="10"/>
          <w:sz w:val="24"/>
          <w:szCs w:val="24"/>
        </w:rPr>
      </w:pPr>
      <w:r>
        <w:rPr>
          <w:rFonts w:ascii="Tahoma" w:eastAsia="Arial Unicode MS" w:hAnsi="Tahoma" w:cs="Calibri"/>
          <w:b/>
          <w:spacing w:val="10"/>
          <w:sz w:val="24"/>
          <w:szCs w:val="24"/>
        </w:rPr>
        <w:t>REPUBLIKA HRVATSKA</w:t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  <w:r>
        <w:rPr>
          <w:rFonts w:ascii="Tahoma" w:eastAsia="Arial Unicode MS" w:hAnsi="Tahoma" w:cs="Calibri"/>
          <w:b/>
          <w:spacing w:val="10"/>
          <w:sz w:val="24"/>
          <w:szCs w:val="24"/>
        </w:rPr>
        <w:tab/>
      </w:r>
    </w:p>
    <w:p w:rsidR="00D72C3D" w:rsidRDefault="00D72C3D" w:rsidP="00D72C3D">
      <w:pPr>
        <w:spacing w:after="0" w:line="100" w:lineRule="atLeast"/>
        <w:rPr>
          <w:rFonts w:ascii="Tahoma" w:eastAsia="Arial Unicode MS" w:hAnsi="Tahoma" w:cs="Calibri"/>
          <w:b/>
          <w:spacing w:val="10"/>
          <w:sz w:val="24"/>
          <w:szCs w:val="24"/>
        </w:rPr>
      </w:pPr>
      <w:r>
        <w:rPr>
          <w:rFonts w:ascii="Tahoma" w:eastAsia="Arial Unicode MS" w:hAnsi="Tahoma" w:cs="Calibri"/>
          <w:b/>
          <w:spacing w:val="10"/>
          <w:sz w:val="24"/>
          <w:szCs w:val="24"/>
        </w:rPr>
        <w:t>KARLOVAČKA ŽUPANIJA</w:t>
      </w:r>
    </w:p>
    <w:p w:rsidR="00D72C3D" w:rsidRDefault="00D72C3D" w:rsidP="00D72C3D">
      <w:pPr>
        <w:spacing w:after="0" w:line="100" w:lineRule="atLeast"/>
        <w:rPr>
          <w:rFonts w:ascii="Tahoma" w:hAnsi="Tahoma" w:cs="Calibri"/>
          <w:sz w:val="24"/>
          <w:szCs w:val="24"/>
        </w:rPr>
      </w:pPr>
      <w:r>
        <w:rPr>
          <w:rFonts w:ascii="Tahoma" w:hAnsi="Tahoma" w:cs="Calibri"/>
          <w:sz w:val="24"/>
          <w:szCs w:val="24"/>
        </w:rPr>
        <w:t xml:space="preserve">    OPĆINA CETINGRAD</w:t>
      </w:r>
    </w:p>
    <w:p w:rsidR="00D72C3D" w:rsidRDefault="00D72C3D" w:rsidP="00D72C3D">
      <w:pPr>
        <w:spacing w:after="0" w:line="100" w:lineRule="atLeast"/>
        <w:rPr>
          <w:rFonts w:ascii="Tahoma" w:hAnsi="Tahoma" w:cs="Calibri"/>
          <w:sz w:val="24"/>
          <w:szCs w:val="24"/>
        </w:rPr>
      </w:pPr>
      <w:r>
        <w:rPr>
          <w:rFonts w:ascii="Tahoma" w:hAnsi="Tahoma" w:cs="Calibri"/>
          <w:sz w:val="24"/>
          <w:szCs w:val="24"/>
        </w:rPr>
        <w:t xml:space="preserve">     OPĆINSKO VIJEĆE</w:t>
      </w:r>
    </w:p>
    <w:p w:rsidR="00D72C3D" w:rsidRDefault="00D72C3D" w:rsidP="00D72C3D">
      <w:pPr>
        <w:spacing w:after="0" w:line="360" w:lineRule="auto"/>
        <w:rPr>
          <w:rFonts w:ascii="Tahoma" w:hAnsi="Tahoma" w:cs="Arial"/>
          <w:sz w:val="24"/>
          <w:szCs w:val="24"/>
        </w:rPr>
      </w:pPr>
    </w:p>
    <w:p w:rsidR="00D72C3D" w:rsidRDefault="00D72C3D" w:rsidP="00D72C3D">
      <w:pPr>
        <w:spacing w:after="0" w:line="100" w:lineRule="atLeast"/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>Klasa: 021-05/19-01/</w:t>
      </w:r>
      <w:r w:rsidR="004C606B">
        <w:rPr>
          <w:rFonts w:ascii="Tahoma" w:hAnsi="Tahoma" w:cs="Arial"/>
          <w:sz w:val="24"/>
          <w:szCs w:val="24"/>
        </w:rPr>
        <w:t>27-05</w:t>
      </w:r>
    </w:p>
    <w:p w:rsidR="00D72C3D" w:rsidRDefault="00D72C3D" w:rsidP="00D72C3D">
      <w:pPr>
        <w:spacing w:after="0" w:line="100" w:lineRule="atLeast"/>
        <w:rPr>
          <w:rFonts w:ascii="Tahoma" w:hAnsi="Tahoma" w:cs="Arial"/>
          <w:sz w:val="24"/>
          <w:szCs w:val="24"/>
        </w:rPr>
      </w:pPr>
      <w:proofErr w:type="spellStart"/>
      <w:r>
        <w:rPr>
          <w:rFonts w:ascii="Tahoma" w:hAnsi="Tahoma" w:cs="Arial"/>
          <w:sz w:val="24"/>
          <w:szCs w:val="24"/>
        </w:rPr>
        <w:t>Ur.broj</w:t>
      </w:r>
      <w:proofErr w:type="spellEnd"/>
      <w:r>
        <w:rPr>
          <w:rFonts w:ascii="Tahoma" w:hAnsi="Tahoma" w:cs="Arial"/>
          <w:sz w:val="24"/>
          <w:szCs w:val="24"/>
        </w:rPr>
        <w:t>: 2133-07/19-01</w:t>
      </w:r>
    </w:p>
    <w:p w:rsidR="00D72C3D" w:rsidRDefault="00D72C3D" w:rsidP="00D72C3D">
      <w:pPr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 xml:space="preserve">Cetingrad, </w:t>
      </w:r>
      <w:r w:rsidR="004C606B">
        <w:rPr>
          <w:rFonts w:ascii="Tahoma" w:hAnsi="Tahoma" w:cs="Arial"/>
          <w:sz w:val="24"/>
          <w:szCs w:val="24"/>
        </w:rPr>
        <w:t xml:space="preserve">07. studeni </w:t>
      </w:r>
      <w:r>
        <w:rPr>
          <w:rFonts w:ascii="Tahoma" w:hAnsi="Tahoma" w:cs="Arial"/>
          <w:sz w:val="24"/>
          <w:szCs w:val="24"/>
        </w:rPr>
        <w:t>2019. godine</w:t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</w:p>
    <w:p w:rsidR="00D72C3D" w:rsidRDefault="002F72E8" w:rsidP="0009169B">
      <w:pPr>
        <w:pStyle w:val="Tijelotekst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temelju članka 39. </w:t>
      </w:r>
      <w:r w:rsidR="00D72C3D" w:rsidRPr="00186C5A">
        <w:rPr>
          <w:rFonts w:ascii="Tahoma" w:hAnsi="Tahoma" w:cs="Tahoma"/>
        </w:rPr>
        <w:t xml:space="preserve">Zakona o poljoprivrednom zemljištu u vlasništvu Republike Hrvatske („Narodne novine“ br. 20/18) i članka 32. Statuta Općine Cetingrad ("Glasnik Karlovačke Županije" br. 09/13) Općinsko vijeće Općine Cetingrad na </w:t>
      </w:r>
      <w:r w:rsidR="004C606B">
        <w:rPr>
          <w:rFonts w:ascii="Tahoma" w:hAnsi="Tahoma" w:cs="Tahoma"/>
        </w:rPr>
        <w:t xml:space="preserve">27. (dvadesetsedmoj) </w:t>
      </w:r>
      <w:r w:rsidR="00D72C3D" w:rsidRPr="00186C5A">
        <w:rPr>
          <w:rFonts w:ascii="Tahoma" w:hAnsi="Tahoma" w:cs="Tahoma"/>
        </w:rPr>
        <w:t xml:space="preserve">sjednici održanoj </w:t>
      </w:r>
      <w:r w:rsidR="004C606B">
        <w:rPr>
          <w:rFonts w:ascii="Tahoma" w:hAnsi="Tahoma" w:cs="Tahoma"/>
        </w:rPr>
        <w:t>07</w:t>
      </w:r>
      <w:r w:rsidR="00D72C3D" w:rsidRPr="00186C5A">
        <w:rPr>
          <w:rFonts w:ascii="Tahoma" w:hAnsi="Tahoma" w:cs="Tahoma"/>
        </w:rPr>
        <w:t xml:space="preserve">. </w:t>
      </w:r>
      <w:r w:rsidR="004C606B">
        <w:rPr>
          <w:rFonts w:ascii="Tahoma" w:hAnsi="Tahoma" w:cs="Tahoma"/>
        </w:rPr>
        <w:t>studenog</w:t>
      </w:r>
      <w:r w:rsidR="00D72C3D" w:rsidRPr="00186C5A">
        <w:rPr>
          <w:rFonts w:ascii="Tahoma" w:hAnsi="Tahoma" w:cs="Tahoma"/>
        </w:rPr>
        <w:t xml:space="preserve"> 2019. godine donijelo je</w:t>
      </w:r>
    </w:p>
    <w:p w:rsidR="002F72E8" w:rsidRDefault="002F72E8" w:rsidP="001F5BA9">
      <w:pPr>
        <w:pStyle w:val="Tijeloteksta"/>
        <w:spacing w:after="0"/>
        <w:ind w:left="1080"/>
        <w:jc w:val="center"/>
        <w:rPr>
          <w:rFonts w:ascii="Tahoma" w:hAnsi="Tahoma" w:cs="Tahoma"/>
          <w:b/>
        </w:rPr>
      </w:pPr>
    </w:p>
    <w:p w:rsidR="00D72C3D" w:rsidRPr="002F72E8" w:rsidRDefault="00D72C3D" w:rsidP="001F5BA9">
      <w:pPr>
        <w:pStyle w:val="Tijeloteksta"/>
        <w:spacing w:after="0"/>
        <w:ind w:left="1080"/>
        <w:jc w:val="center"/>
        <w:rPr>
          <w:rFonts w:ascii="Tahoma" w:hAnsi="Tahoma" w:cs="Tahoma"/>
          <w:b/>
        </w:rPr>
      </w:pPr>
      <w:r w:rsidRPr="002F72E8">
        <w:rPr>
          <w:rFonts w:ascii="Tahoma" w:hAnsi="Tahoma" w:cs="Tahoma"/>
          <w:b/>
        </w:rPr>
        <w:t>ODLUKU</w:t>
      </w:r>
    </w:p>
    <w:p w:rsidR="00D72C3D" w:rsidRPr="002F72E8" w:rsidRDefault="00D72C3D" w:rsidP="001F5BA9">
      <w:pPr>
        <w:pStyle w:val="Tijeloteksta"/>
        <w:spacing w:after="0"/>
        <w:ind w:left="1080"/>
        <w:jc w:val="center"/>
        <w:rPr>
          <w:rFonts w:ascii="Tahoma" w:hAnsi="Tahoma" w:cs="Tahoma"/>
          <w:b/>
        </w:rPr>
      </w:pPr>
      <w:r w:rsidRPr="002F72E8">
        <w:rPr>
          <w:rFonts w:ascii="Tahoma" w:hAnsi="Tahoma" w:cs="Tahoma"/>
          <w:b/>
        </w:rPr>
        <w:t xml:space="preserve">o osnivanju i imenovanju Povjerenstva za </w:t>
      </w:r>
    </w:p>
    <w:p w:rsidR="00D72C3D" w:rsidRPr="002F72E8" w:rsidRDefault="002F72E8" w:rsidP="002F72E8">
      <w:pPr>
        <w:pStyle w:val="Tijeloteksta"/>
        <w:spacing w:after="0"/>
        <w:ind w:left="1080"/>
        <w:jc w:val="center"/>
        <w:rPr>
          <w:rFonts w:ascii="Tahoma" w:hAnsi="Tahoma" w:cs="Tahoma"/>
          <w:b/>
        </w:rPr>
      </w:pPr>
      <w:r w:rsidRPr="002F72E8">
        <w:rPr>
          <w:rFonts w:ascii="Tahoma" w:hAnsi="Tahoma" w:cs="Tahoma"/>
          <w:b/>
        </w:rPr>
        <w:t>uvođenje u posjed poljopr</w:t>
      </w:r>
      <w:r>
        <w:rPr>
          <w:rFonts w:ascii="Tahoma" w:hAnsi="Tahoma" w:cs="Tahoma"/>
          <w:b/>
        </w:rPr>
        <w:t xml:space="preserve">ivrednog zemljišta u vlasništvu </w:t>
      </w:r>
      <w:r w:rsidRPr="002F72E8">
        <w:rPr>
          <w:rFonts w:ascii="Tahoma" w:hAnsi="Tahoma" w:cs="Tahoma"/>
          <w:b/>
        </w:rPr>
        <w:t>Republike Hrvatske na</w:t>
      </w:r>
      <w:r w:rsidR="00D72C3D" w:rsidRPr="002F72E8">
        <w:rPr>
          <w:rFonts w:ascii="Tahoma" w:hAnsi="Tahoma" w:cs="Tahoma"/>
          <w:b/>
        </w:rPr>
        <w:t xml:space="preserve"> </w:t>
      </w:r>
      <w:bookmarkStart w:id="0" w:name="_GoBack"/>
      <w:bookmarkEnd w:id="0"/>
      <w:r w:rsidR="00D72C3D" w:rsidRPr="002F72E8">
        <w:rPr>
          <w:rFonts w:ascii="Tahoma" w:hAnsi="Tahoma" w:cs="Tahoma"/>
          <w:b/>
        </w:rPr>
        <w:t xml:space="preserve"> području </w:t>
      </w:r>
      <w:r>
        <w:rPr>
          <w:rFonts w:ascii="Tahoma" w:hAnsi="Tahoma" w:cs="Tahoma"/>
          <w:b/>
        </w:rPr>
        <w:t xml:space="preserve"> </w:t>
      </w:r>
      <w:r w:rsidR="00D72C3D" w:rsidRPr="002F72E8">
        <w:rPr>
          <w:rFonts w:ascii="Tahoma" w:hAnsi="Tahoma" w:cs="Tahoma"/>
          <w:b/>
        </w:rPr>
        <w:t>Općine Cetingrad</w:t>
      </w:r>
    </w:p>
    <w:p w:rsidR="00D72C3D" w:rsidRDefault="00D72C3D" w:rsidP="001F5BA9">
      <w:pPr>
        <w:pStyle w:val="Tijeloteksta"/>
        <w:spacing w:after="0"/>
      </w:pPr>
    </w:p>
    <w:p w:rsidR="00D72C3D" w:rsidRDefault="00D72C3D" w:rsidP="00D72C3D">
      <w:pPr>
        <w:pStyle w:val="Tijeloteksta"/>
        <w:jc w:val="center"/>
        <w:rPr>
          <w:rFonts w:ascii="Tahoma" w:hAnsi="Tahoma" w:cs="Arial"/>
          <w:b/>
        </w:rPr>
      </w:pPr>
      <w:r>
        <w:rPr>
          <w:rFonts w:ascii="Tahoma" w:hAnsi="Tahoma" w:cs="Arial"/>
          <w:b/>
        </w:rPr>
        <w:t>Članak 1.</w:t>
      </w:r>
    </w:p>
    <w:p w:rsidR="002F72E8" w:rsidRDefault="00D72C3D" w:rsidP="0009169B">
      <w:pPr>
        <w:pStyle w:val="Tijeloteksta"/>
        <w:jc w:val="both"/>
        <w:rPr>
          <w:rFonts w:ascii="Tahoma" w:hAnsi="Tahoma" w:cs="Tahoma"/>
        </w:rPr>
      </w:pPr>
      <w:r>
        <w:rPr>
          <w:rFonts w:ascii="Tahoma" w:hAnsi="Tahoma" w:cs="Arial"/>
        </w:rPr>
        <w:tab/>
      </w:r>
      <w:r w:rsidR="002F72E8" w:rsidRPr="002F72E8">
        <w:rPr>
          <w:rFonts w:ascii="Tahoma" w:hAnsi="Tahoma" w:cs="Tahoma"/>
        </w:rPr>
        <w:t>Ovom Odlukom osniva se Povjerenstvo za uvođenje u posjed poljoprivrednog zemljišta u vlasništvu Republike Hrvatske na području Općine Cetingrad i imenuju njegovi članovi. Ovo Povjerenstvo sukladno članku 39. stavku 2. Zakona čine tri člana i to: pravne, geodetske i agronomske struke.</w:t>
      </w:r>
    </w:p>
    <w:p w:rsidR="00721B55" w:rsidRPr="002F72E8" w:rsidRDefault="00721B55" w:rsidP="0009169B">
      <w:pPr>
        <w:pStyle w:val="Tijeloteksta"/>
        <w:jc w:val="both"/>
        <w:rPr>
          <w:rFonts w:ascii="Tahoma" w:hAnsi="Tahoma" w:cs="Tahoma"/>
        </w:rPr>
      </w:pPr>
    </w:p>
    <w:p w:rsidR="001F5BA9" w:rsidRPr="001F5BA9" w:rsidRDefault="001F5BA9" w:rsidP="001F5BA9">
      <w:pPr>
        <w:pStyle w:val="Tijeloteksta"/>
        <w:jc w:val="center"/>
        <w:rPr>
          <w:rFonts w:ascii="Tahoma" w:hAnsi="Tahoma" w:cs="Tahoma"/>
          <w:b/>
        </w:rPr>
      </w:pPr>
      <w:r w:rsidRPr="001F5BA9">
        <w:rPr>
          <w:rFonts w:ascii="Tahoma" w:hAnsi="Tahoma" w:cs="Tahoma"/>
          <w:b/>
        </w:rPr>
        <w:t>Članak 2.</w:t>
      </w:r>
    </w:p>
    <w:p w:rsidR="001F5BA9" w:rsidRPr="001F5BA9" w:rsidRDefault="001F5BA9" w:rsidP="002F72E8">
      <w:pPr>
        <w:pStyle w:val="Tijeloteksta"/>
        <w:spacing w:after="0"/>
        <w:ind w:firstLine="708"/>
        <w:jc w:val="both"/>
        <w:rPr>
          <w:rFonts w:ascii="Tahoma" w:hAnsi="Tahoma" w:cs="Tahoma"/>
        </w:rPr>
      </w:pPr>
      <w:r w:rsidRPr="001F5BA9">
        <w:rPr>
          <w:rFonts w:ascii="Tahoma" w:hAnsi="Tahoma" w:cs="Tahoma"/>
        </w:rPr>
        <w:t xml:space="preserve">U Povjerenstvo </w:t>
      </w:r>
      <w:r w:rsidR="002F72E8">
        <w:rPr>
          <w:rFonts w:ascii="Tahoma" w:hAnsi="Tahoma" w:cs="Tahoma"/>
        </w:rPr>
        <w:t>se imenuju sljedeći članovi:</w:t>
      </w:r>
    </w:p>
    <w:p w:rsidR="001F5BA9" w:rsidRPr="001F5BA9" w:rsidRDefault="001F5BA9" w:rsidP="002F72E8">
      <w:pPr>
        <w:pStyle w:val="Tijeloteksta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Osman </w:t>
      </w:r>
      <w:proofErr w:type="spellStart"/>
      <w:r>
        <w:rPr>
          <w:rFonts w:ascii="Tahoma" w:hAnsi="Tahoma" w:cs="Tahoma"/>
        </w:rPr>
        <w:t>Mušić</w:t>
      </w:r>
      <w:proofErr w:type="spellEnd"/>
      <w:r w:rsidRPr="001F5BA9">
        <w:rPr>
          <w:rFonts w:ascii="Tahoma" w:hAnsi="Tahoma" w:cs="Tahoma"/>
        </w:rPr>
        <w:t xml:space="preserve">, </w:t>
      </w:r>
      <w:proofErr w:type="spellStart"/>
      <w:r w:rsidRPr="001F5BA9">
        <w:rPr>
          <w:rFonts w:ascii="Tahoma" w:hAnsi="Tahoma" w:cs="Tahoma"/>
        </w:rPr>
        <w:t>dip.iur</w:t>
      </w:r>
      <w:proofErr w:type="spellEnd"/>
      <w:r w:rsidRPr="001F5BA9">
        <w:rPr>
          <w:rFonts w:ascii="Tahoma" w:hAnsi="Tahoma" w:cs="Tahoma"/>
        </w:rPr>
        <w:t xml:space="preserve">., </w:t>
      </w:r>
    </w:p>
    <w:p w:rsidR="001F5BA9" w:rsidRPr="001F5BA9" w:rsidRDefault="001F5BA9" w:rsidP="002F72E8">
      <w:pPr>
        <w:pStyle w:val="Tijeloteksta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 Mario Novosel</w:t>
      </w:r>
      <w:r w:rsidRPr="001F5BA9">
        <w:rPr>
          <w:rFonts w:ascii="Tahoma" w:hAnsi="Tahoma" w:cs="Tahoma"/>
        </w:rPr>
        <w:t xml:space="preserve">, </w:t>
      </w:r>
      <w:proofErr w:type="spellStart"/>
      <w:r w:rsidRPr="001F5BA9">
        <w:rPr>
          <w:rFonts w:ascii="Tahoma" w:hAnsi="Tahoma" w:cs="Tahoma"/>
        </w:rPr>
        <w:t>dipl.ing.geod</w:t>
      </w:r>
      <w:proofErr w:type="spellEnd"/>
      <w:r w:rsidRPr="001F5BA9">
        <w:rPr>
          <w:rFonts w:ascii="Tahoma" w:hAnsi="Tahoma" w:cs="Tahoma"/>
        </w:rPr>
        <w:t xml:space="preserve">., </w:t>
      </w:r>
    </w:p>
    <w:p w:rsidR="001F5BA9" w:rsidRDefault="001F5BA9" w:rsidP="002F72E8">
      <w:pPr>
        <w:pStyle w:val="Tijeloteksta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3) Milan </w:t>
      </w:r>
      <w:proofErr w:type="spellStart"/>
      <w:r>
        <w:rPr>
          <w:rFonts w:ascii="Tahoma" w:hAnsi="Tahoma" w:cs="Tahoma"/>
        </w:rPr>
        <w:t>Gašparin</w:t>
      </w:r>
      <w:proofErr w:type="spellEnd"/>
      <w:r w:rsidRPr="001F5BA9">
        <w:rPr>
          <w:rFonts w:ascii="Tahoma" w:hAnsi="Tahoma" w:cs="Tahoma"/>
        </w:rPr>
        <w:t xml:space="preserve">, </w:t>
      </w:r>
      <w:proofErr w:type="spellStart"/>
      <w:r w:rsidRPr="001F5BA9">
        <w:rPr>
          <w:rFonts w:ascii="Tahoma" w:hAnsi="Tahoma" w:cs="Tahoma"/>
        </w:rPr>
        <w:t>mag.ing.agr</w:t>
      </w:r>
      <w:proofErr w:type="spellEnd"/>
      <w:r w:rsidRPr="001F5BA9">
        <w:rPr>
          <w:rFonts w:ascii="Tahoma" w:hAnsi="Tahoma" w:cs="Tahoma"/>
        </w:rPr>
        <w:t>.</w:t>
      </w:r>
    </w:p>
    <w:p w:rsidR="002F72E8" w:rsidRDefault="002F72E8" w:rsidP="002F72E8">
      <w:pPr>
        <w:pStyle w:val="Tijeloteksta"/>
        <w:spacing w:after="0"/>
        <w:jc w:val="both"/>
        <w:rPr>
          <w:rFonts w:ascii="Tahoma" w:hAnsi="Tahoma" w:cs="Tahoma"/>
        </w:rPr>
      </w:pPr>
    </w:p>
    <w:p w:rsidR="00721B55" w:rsidRDefault="002F72E8" w:rsidP="00721B55">
      <w:pPr>
        <w:pStyle w:val="Tijeloteksta"/>
        <w:ind w:firstLine="708"/>
        <w:jc w:val="both"/>
        <w:rPr>
          <w:rFonts w:ascii="Tahoma" w:hAnsi="Tahoma" w:cs="Tahoma"/>
        </w:rPr>
      </w:pPr>
      <w:r w:rsidRPr="002F72E8">
        <w:rPr>
          <w:rFonts w:ascii="Tahoma" w:hAnsi="Tahoma" w:cs="Tahoma"/>
        </w:rPr>
        <w:t xml:space="preserve">Članovi Povjerenstva imaju pravo na naknadu za svoj rad. Iznos </w:t>
      </w:r>
      <w:r>
        <w:rPr>
          <w:rFonts w:ascii="Tahoma" w:hAnsi="Tahoma" w:cs="Tahoma"/>
        </w:rPr>
        <w:t>naknade odredit će načelnik</w:t>
      </w:r>
      <w:r w:rsidRPr="002F72E8">
        <w:rPr>
          <w:rFonts w:ascii="Tahoma" w:hAnsi="Tahoma" w:cs="Tahoma"/>
        </w:rPr>
        <w:t xml:space="preserve"> posebnom odlukom.</w:t>
      </w:r>
    </w:p>
    <w:p w:rsidR="00721B55" w:rsidRDefault="00721B55" w:rsidP="00721B55">
      <w:pPr>
        <w:pStyle w:val="Tijeloteksta"/>
        <w:ind w:firstLine="708"/>
        <w:jc w:val="both"/>
        <w:rPr>
          <w:rFonts w:ascii="Tahoma" w:hAnsi="Tahoma" w:cs="Tahoma"/>
        </w:rPr>
      </w:pPr>
    </w:p>
    <w:p w:rsidR="001F5BA9" w:rsidRDefault="00721B55" w:rsidP="001F5BA9">
      <w:pPr>
        <w:pStyle w:val="Tijelotekst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3</w:t>
      </w:r>
      <w:r w:rsidR="001F5BA9" w:rsidRPr="001F5BA9">
        <w:rPr>
          <w:rFonts w:ascii="Tahoma" w:hAnsi="Tahoma" w:cs="Tahoma"/>
          <w:b/>
        </w:rPr>
        <w:t>.</w:t>
      </w:r>
    </w:p>
    <w:p w:rsidR="00721B55" w:rsidRDefault="002F72E8" w:rsidP="002F72E8">
      <w:pPr>
        <w:pStyle w:val="Tijeloteksta"/>
        <w:jc w:val="both"/>
        <w:rPr>
          <w:rFonts w:ascii="Tahoma" w:hAnsi="Tahoma" w:cs="Tahoma"/>
        </w:rPr>
      </w:pPr>
      <w:r w:rsidRPr="002F72E8">
        <w:rPr>
          <w:rFonts w:ascii="Tahoma" w:hAnsi="Tahoma" w:cs="Tahoma"/>
        </w:rPr>
        <w:t xml:space="preserve">Povjerenstvo za uvođenje u posjed iz članka 2. ove Odluke obavlja slijedeće zadaće: </w:t>
      </w:r>
    </w:p>
    <w:p w:rsidR="002F72E8" w:rsidRDefault="002F72E8" w:rsidP="002F72E8">
      <w:pPr>
        <w:pStyle w:val="Tijelotek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2F72E8">
        <w:rPr>
          <w:rFonts w:ascii="Tahoma" w:hAnsi="Tahoma" w:cs="Tahoma"/>
        </w:rPr>
        <w:t xml:space="preserve">1. Uvodi zakupnika u posjed u roku od 30 dana od dana sklapanja Ugovora o zakupu, odnosno po skidanju usjeva; </w:t>
      </w:r>
    </w:p>
    <w:p w:rsidR="00721B55" w:rsidRDefault="002F72E8" w:rsidP="002F72E8">
      <w:pPr>
        <w:pStyle w:val="Tijeloteksta"/>
        <w:jc w:val="both"/>
        <w:rPr>
          <w:rFonts w:ascii="Tahoma" w:hAnsi="Tahoma" w:cs="Tahoma"/>
        </w:rPr>
      </w:pPr>
      <w:r w:rsidRPr="002F72E8">
        <w:rPr>
          <w:rFonts w:ascii="Tahoma" w:hAnsi="Tahoma" w:cs="Tahoma"/>
        </w:rPr>
        <w:t xml:space="preserve">2. Sastavlja zapisnik o uvođenju u posjed; </w:t>
      </w:r>
    </w:p>
    <w:p w:rsidR="00721B55" w:rsidRDefault="002F72E8" w:rsidP="002F72E8">
      <w:pPr>
        <w:pStyle w:val="Tijeloteksta"/>
        <w:jc w:val="both"/>
        <w:rPr>
          <w:rFonts w:ascii="Tahoma" w:hAnsi="Tahoma" w:cs="Tahoma"/>
        </w:rPr>
      </w:pPr>
      <w:r w:rsidRPr="002F72E8">
        <w:rPr>
          <w:rFonts w:ascii="Tahoma" w:hAnsi="Tahoma" w:cs="Tahoma"/>
        </w:rPr>
        <w:t xml:space="preserve">3. Preuzima zemljište u posjed po prestanku ugovora o zakupu, odnosno po skidanju usjeva, odnosno plodova; </w:t>
      </w:r>
    </w:p>
    <w:p w:rsidR="002F72E8" w:rsidRPr="002F72E8" w:rsidRDefault="002F72E8" w:rsidP="002F72E8">
      <w:pPr>
        <w:pStyle w:val="Tijeloteksta"/>
        <w:jc w:val="both"/>
        <w:rPr>
          <w:rFonts w:ascii="Tahoma" w:hAnsi="Tahoma" w:cs="Tahoma"/>
          <w:b/>
        </w:rPr>
      </w:pPr>
      <w:r w:rsidRPr="002F72E8">
        <w:rPr>
          <w:rFonts w:ascii="Tahoma" w:hAnsi="Tahoma" w:cs="Tahoma"/>
        </w:rPr>
        <w:t>4. Obavlja i druge poslove utvrđene Zakonom o poljoprivrednom zemljištu</w:t>
      </w:r>
      <w:r w:rsidR="00721B55">
        <w:rPr>
          <w:rFonts w:ascii="Tahoma" w:hAnsi="Tahoma" w:cs="Tahoma"/>
        </w:rPr>
        <w:t>.</w:t>
      </w:r>
    </w:p>
    <w:p w:rsidR="001F5BA9" w:rsidRPr="001F5BA9" w:rsidRDefault="001F5BA9" w:rsidP="001F5BA9">
      <w:pPr>
        <w:pStyle w:val="Tijeloteksta"/>
        <w:ind w:firstLine="708"/>
        <w:jc w:val="center"/>
        <w:rPr>
          <w:rFonts w:ascii="Tahoma" w:hAnsi="Tahoma" w:cs="Tahoma"/>
          <w:b/>
        </w:rPr>
      </w:pPr>
    </w:p>
    <w:p w:rsidR="001F5BA9" w:rsidRPr="001F5BA9" w:rsidRDefault="00721B55" w:rsidP="001F5BA9">
      <w:pPr>
        <w:pStyle w:val="Tijelotekst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4</w:t>
      </w:r>
      <w:r w:rsidR="001F5BA9" w:rsidRPr="001F5BA9">
        <w:rPr>
          <w:rFonts w:ascii="Tahoma" w:hAnsi="Tahoma" w:cs="Tahoma"/>
          <w:b/>
        </w:rPr>
        <w:t>.</w:t>
      </w:r>
    </w:p>
    <w:p w:rsidR="001F5BA9" w:rsidRDefault="00721B55" w:rsidP="00721B55">
      <w:pPr>
        <w:pStyle w:val="Tijeloteksta"/>
        <w:ind w:firstLine="708"/>
        <w:jc w:val="both"/>
        <w:rPr>
          <w:rFonts w:ascii="Tahoma" w:hAnsi="Tahoma" w:cs="Tahoma"/>
        </w:rPr>
      </w:pPr>
      <w:r w:rsidRPr="00721B55">
        <w:rPr>
          <w:rFonts w:ascii="Tahoma" w:hAnsi="Tahoma" w:cs="Tahoma"/>
        </w:rPr>
        <w:t xml:space="preserve">Stručne i administrativne poslove za Povjerenstvo iz članka 2. ove Odluke obavlja </w:t>
      </w:r>
      <w:r>
        <w:rPr>
          <w:rFonts w:ascii="Tahoma" w:hAnsi="Tahoma" w:cs="Tahoma"/>
        </w:rPr>
        <w:t>Jedinstveni upravni odjel Općine Cetingrad</w:t>
      </w:r>
      <w:r w:rsidR="001F5BA9" w:rsidRPr="00721B55">
        <w:rPr>
          <w:rFonts w:ascii="Tahoma" w:hAnsi="Tahoma" w:cs="Tahoma"/>
        </w:rPr>
        <w:t>.</w:t>
      </w:r>
    </w:p>
    <w:p w:rsidR="00721B55" w:rsidRDefault="00721B55" w:rsidP="00721B55">
      <w:pPr>
        <w:pStyle w:val="Tijeloteksta"/>
        <w:ind w:firstLine="708"/>
        <w:jc w:val="both"/>
        <w:rPr>
          <w:rFonts w:ascii="Tahoma" w:hAnsi="Tahoma" w:cs="Tahoma"/>
        </w:rPr>
      </w:pPr>
    </w:p>
    <w:p w:rsidR="001F5BA9" w:rsidRPr="001F5BA9" w:rsidRDefault="00721B55" w:rsidP="001F5BA9">
      <w:pPr>
        <w:pStyle w:val="Tijelotekst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Članak 5</w:t>
      </w:r>
      <w:r w:rsidR="001F5BA9" w:rsidRPr="001F5BA9">
        <w:rPr>
          <w:rFonts w:ascii="Tahoma" w:hAnsi="Tahoma" w:cs="Tahoma"/>
          <w:b/>
        </w:rPr>
        <w:t>.</w:t>
      </w:r>
    </w:p>
    <w:p w:rsidR="001F5BA9" w:rsidRPr="00154A64" w:rsidRDefault="001F5BA9" w:rsidP="001F5BA9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4"/>
        </w:rPr>
      </w:pPr>
      <w:r w:rsidRPr="00154A64">
        <w:rPr>
          <w:rFonts w:ascii="Tahoma" w:hAnsi="Tahoma" w:cs="Tahoma"/>
          <w:sz w:val="24"/>
          <w:szCs w:val="24"/>
        </w:rPr>
        <w:t>Ova Odluka stupa na snagu osmog dana od dana objave u „</w:t>
      </w:r>
      <w:r>
        <w:rPr>
          <w:rFonts w:ascii="Tahoma" w:hAnsi="Tahoma" w:cs="Tahoma"/>
          <w:sz w:val="24"/>
          <w:szCs w:val="24"/>
        </w:rPr>
        <w:t>Glasniku Karlovačke županije</w:t>
      </w:r>
      <w:r w:rsidRPr="00154A64">
        <w:rPr>
          <w:rFonts w:ascii="Tahoma" w:hAnsi="Tahoma" w:cs="Tahoma"/>
          <w:sz w:val="24"/>
          <w:szCs w:val="24"/>
        </w:rPr>
        <w:t>“.</w:t>
      </w:r>
      <w:r w:rsidRPr="00154A64">
        <w:rPr>
          <w:rFonts w:ascii="Tahoma" w:hAnsi="Tahoma" w:cs="Tahoma"/>
          <w:sz w:val="24"/>
          <w:szCs w:val="24"/>
        </w:rPr>
        <w:tab/>
      </w:r>
      <w:r w:rsidRPr="00154A64">
        <w:rPr>
          <w:rFonts w:ascii="Tahoma" w:hAnsi="Tahoma" w:cs="Tahoma"/>
          <w:sz w:val="24"/>
          <w:szCs w:val="24"/>
        </w:rPr>
        <w:tab/>
      </w:r>
    </w:p>
    <w:p w:rsidR="001F5BA9" w:rsidRDefault="001F5BA9" w:rsidP="001F5BA9">
      <w:pPr>
        <w:pStyle w:val="Tijeloteksta"/>
        <w:jc w:val="both"/>
        <w:rPr>
          <w:rFonts w:ascii="Tahoma" w:hAnsi="Tahoma" w:cs="Tahoma"/>
        </w:rPr>
      </w:pPr>
    </w:p>
    <w:p w:rsidR="001F5BA9" w:rsidRDefault="001F5BA9" w:rsidP="001F5BA9">
      <w:pPr>
        <w:spacing w:after="0" w:line="240" w:lineRule="auto"/>
        <w:ind w:left="6032" w:firstLine="349"/>
        <w:jc w:val="both"/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 xml:space="preserve">   Predsjednik</w:t>
      </w:r>
    </w:p>
    <w:p w:rsidR="001F5BA9" w:rsidRDefault="001F5BA9" w:rsidP="001F5BA9">
      <w:pPr>
        <w:spacing w:after="0" w:line="240" w:lineRule="auto"/>
        <w:jc w:val="both"/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  <w:t>Općinskog vijeća</w:t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</w:p>
    <w:p w:rsidR="001F5BA9" w:rsidRDefault="001F5BA9" w:rsidP="001F5BA9">
      <w:pPr>
        <w:spacing w:after="0" w:line="240" w:lineRule="auto"/>
        <w:ind w:left="5664"/>
        <w:jc w:val="both"/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 xml:space="preserve">    ___________________</w:t>
      </w:r>
    </w:p>
    <w:p w:rsidR="001F5BA9" w:rsidRDefault="001F5BA9" w:rsidP="001F5BA9">
      <w:pPr>
        <w:spacing w:after="0" w:line="240" w:lineRule="auto"/>
        <w:rPr>
          <w:rFonts w:ascii="Tahoma" w:hAnsi="Tahoma" w:cs="Arial"/>
          <w:sz w:val="24"/>
          <w:szCs w:val="24"/>
        </w:rPr>
      </w:pP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</w:r>
      <w:r>
        <w:rPr>
          <w:rFonts w:ascii="Tahoma" w:hAnsi="Tahoma" w:cs="Arial"/>
          <w:sz w:val="24"/>
          <w:szCs w:val="24"/>
        </w:rPr>
        <w:tab/>
        <w:t xml:space="preserve">            Milan Capan</w:t>
      </w:r>
    </w:p>
    <w:p w:rsidR="001F5BA9" w:rsidRPr="001F5BA9" w:rsidRDefault="001F5BA9" w:rsidP="001F5BA9">
      <w:pPr>
        <w:pStyle w:val="Tijeloteksta"/>
        <w:jc w:val="both"/>
        <w:rPr>
          <w:rFonts w:ascii="Tahoma" w:hAnsi="Tahoma" w:cs="Tahoma"/>
        </w:rPr>
      </w:pPr>
    </w:p>
    <w:sectPr w:rsidR="001F5BA9" w:rsidRPr="001F5BA9" w:rsidSect="001F5BA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352AC"/>
    <w:multiLevelType w:val="hybridMultilevel"/>
    <w:tmpl w:val="7A7C7902"/>
    <w:lvl w:ilvl="0" w:tplc="7AC20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C3D"/>
    <w:rsid w:val="0009169B"/>
    <w:rsid w:val="001F5BA9"/>
    <w:rsid w:val="002F72E8"/>
    <w:rsid w:val="004C606B"/>
    <w:rsid w:val="006E0BAF"/>
    <w:rsid w:val="00721B55"/>
    <w:rsid w:val="00887923"/>
    <w:rsid w:val="00D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8D14"/>
  <w15:docId w15:val="{B4BC97BA-E4AE-45A7-BD1C-FE3DCBA3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C3D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D72C3D"/>
    <w:pPr>
      <w:suppressAutoHyphens/>
      <w:spacing w:after="12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D72C3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Opcina</cp:lastModifiedBy>
  <cp:revision>4</cp:revision>
  <dcterms:created xsi:type="dcterms:W3CDTF">2019-09-27T07:52:00Z</dcterms:created>
  <dcterms:modified xsi:type="dcterms:W3CDTF">2019-11-06T10:46:00Z</dcterms:modified>
</cp:coreProperties>
</file>