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FD28B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13BA0A6F" wp14:editId="632EED75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CF065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8F1AA0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42FD2DFD" w14:textId="0A761C07" w:rsidR="00F2350E" w:rsidRPr="00342BAC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42BAC">
        <w:rPr>
          <w:rFonts w:ascii="Tahoma" w:hAnsi="Tahoma" w:cs="Tahoma"/>
          <w:sz w:val="24"/>
          <w:szCs w:val="24"/>
        </w:rPr>
        <w:t xml:space="preserve">KLASA: </w:t>
      </w:r>
      <w:r w:rsidR="00942BA7" w:rsidRPr="00942BA7">
        <w:rPr>
          <w:rFonts w:ascii="Tahoma" w:hAnsi="Tahoma" w:cs="Tahoma"/>
          <w:sz w:val="24"/>
          <w:szCs w:val="24"/>
        </w:rPr>
        <w:t>363-01/22-01/17</w:t>
      </w:r>
      <w:r w:rsidR="00942BA7">
        <w:rPr>
          <w:rFonts w:ascii="Tahoma" w:hAnsi="Tahoma" w:cs="Tahoma"/>
          <w:sz w:val="24"/>
          <w:szCs w:val="24"/>
        </w:rPr>
        <w:t xml:space="preserve"> </w:t>
      </w:r>
    </w:p>
    <w:p w14:paraId="05DA0FCA" w14:textId="22D37F62" w:rsidR="00F2350E" w:rsidRPr="00342BAC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42BAC">
        <w:rPr>
          <w:rFonts w:ascii="Tahoma" w:hAnsi="Tahoma" w:cs="Tahoma"/>
          <w:sz w:val="24"/>
          <w:szCs w:val="24"/>
        </w:rPr>
        <w:t xml:space="preserve">URBROJ: </w:t>
      </w:r>
      <w:r w:rsidR="003F490C" w:rsidRPr="003F490C">
        <w:rPr>
          <w:rFonts w:ascii="Tahoma" w:hAnsi="Tahoma" w:cs="Tahoma"/>
          <w:sz w:val="24"/>
          <w:szCs w:val="24"/>
        </w:rPr>
        <w:t>2133-7-01/1-24-4</w:t>
      </w:r>
      <w:r w:rsidR="003F490C">
        <w:rPr>
          <w:rFonts w:ascii="Tahoma" w:hAnsi="Tahoma" w:cs="Tahoma"/>
          <w:sz w:val="24"/>
          <w:szCs w:val="24"/>
        </w:rPr>
        <w:t xml:space="preserve"> </w:t>
      </w:r>
    </w:p>
    <w:p w14:paraId="199C79CC" w14:textId="74D62D08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3F490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. </w:t>
      </w:r>
      <w:r w:rsidR="00656BB2">
        <w:rPr>
          <w:rFonts w:ascii="Tahoma" w:hAnsi="Tahoma" w:cs="Tahoma"/>
          <w:sz w:val="24"/>
          <w:szCs w:val="24"/>
        </w:rPr>
        <w:t>svibanj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942BA7">
        <w:rPr>
          <w:rFonts w:ascii="Tahoma" w:hAnsi="Tahoma" w:cs="Tahoma"/>
          <w:sz w:val="24"/>
          <w:szCs w:val="24"/>
        </w:rPr>
        <w:t>4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22F9508B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939845" w14:textId="77777777" w:rsidR="00F2350E" w:rsidRPr="00F41ED8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F41ED8">
        <w:rPr>
          <w:rFonts w:ascii="Tahoma" w:hAnsi="Tahoma" w:cs="Tahoma"/>
          <w:sz w:val="24"/>
          <w:szCs w:val="24"/>
        </w:rPr>
        <w:tab/>
      </w:r>
      <w:r w:rsidR="00FE77A0" w:rsidRPr="00F41ED8">
        <w:rPr>
          <w:rFonts w:ascii="Tahoma" w:hAnsi="Tahoma" w:cs="Tahoma"/>
          <w:sz w:val="24"/>
          <w:szCs w:val="24"/>
        </w:rPr>
        <w:t xml:space="preserve">Na temelju </w:t>
      </w:r>
      <w:r w:rsidR="00540A35" w:rsidRPr="00F41ED8">
        <w:rPr>
          <w:rFonts w:ascii="Tahoma" w:hAnsi="Tahoma" w:cs="Tahoma"/>
          <w:sz w:val="24"/>
          <w:szCs w:val="24"/>
        </w:rPr>
        <w:t xml:space="preserve">članka </w:t>
      </w:r>
      <w:r w:rsidR="00EC2402" w:rsidRPr="00F41ED8">
        <w:rPr>
          <w:rFonts w:ascii="Tahoma" w:hAnsi="Tahoma"/>
          <w:sz w:val="24"/>
          <w:szCs w:val="24"/>
        </w:rPr>
        <w:t>74</w:t>
      </w:r>
      <w:r w:rsidR="00540A35" w:rsidRPr="00F41ED8">
        <w:rPr>
          <w:rFonts w:ascii="Tahoma" w:hAnsi="Tahoma"/>
          <w:sz w:val="24"/>
          <w:szCs w:val="24"/>
        </w:rPr>
        <w:t xml:space="preserve">. Zakona o komunalnom gospodarstvu ("Narodne novine" broj 68/18 110/18 i 32/20) </w:t>
      </w:r>
      <w:r w:rsidR="00FE77A0" w:rsidRPr="00F41ED8">
        <w:rPr>
          <w:rFonts w:ascii="Tahoma" w:hAnsi="Tahoma"/>
          <w:sz w:val="24"/>
          <w:szCs w:val="24"/>
        </w:rPr>
        <w:t>i</w:t>
      </w:r>
      <w:r w:rsidRPr="00F41ED8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</w:p>
    <w:p w14:paraId="26457C9D" w14:textId="77777777" w:rsidR="00FE77A0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4E3FA6A" w14:textId="77777777" w:rsidR="00967E34" w:rsidRPr="00477AE8" w:rsidRDefault="00967E34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CA5BF1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3835FC46" w14:textId="77777777" w:rsidR="00540A35" w:rsidRDefault="00D67BAF" w:rsidP="00540A3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F41ED8">
        <w:rPr>
          <w:rFonts w:ascii="Tahoma" w:hAnsi="Tahoma" w:cs="Tahoma"/>
          <w:b/>
          <w:sz w:val="24"/>
          <w:szCs w:val="24"/>
        </w:rPr>
        <w:t>održavanja</w:t>
      </w:r>
      <w:r w:rsidR="00540A35">
        <w:rPr>
          <w:rFonts w:ascii="Tahoma" w:hAnsi="Tahoma" w:cs="Tahoma"/>
          <w:b/>
          <w:sz w:val="24"/>
          <w:szCs w:val="24"/>
        </w:rPr>
        <w:t xml:space="preserve"> komunalne infrastrukture</w:t>
      </w:r>
    </w:p>
    <w:p w14:paraId="0A1BED76" w14:textId="4CA53522" w:rsidR="006C07FC" w:rsidRPr="006C07FC" w:rsidRDefault="006C07FC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C07FC">
        <w:rPr>
          <w:rFonts w:ascii="Tahoma" w:hAnsi="Tahoma" w:cs="Tahoma"/>
          <w:b/>
          <w:sz w:val="24"/>
          <w:szCs w:val="24"/>
        </w:rPr>
        <w:t>za 202</w:t>
      </w:r>
      <w:r w:rsidR="00942BA7">
        <w:rPr>
          <w:rFonts w:ascii="Tahoma" w:hAnsi="Tahoma" w:cs="Tahoma"/>
          <w:b/>
          <w:sz w:val="24"/>
          <w:szCs w:val="24"/>
        </w:rPr>
        <w:t>3</w:t>
      </w:r>
      <w:r w:rsidRPr="006C07FC">
        <w:rPr>
          <w:rFonts w:ascii="Tahoma" w:hAnsi="Tahoma" w:cs="Tahoma"/>
          <w:b/>
          <w:sz w:val="24"/>
          <w:szCs w:val="24"/>
        </w:rPr>
        <w:t>. godinu</w:t>
      </w:r>
      <w:r w:rsidR="00F41ED8">
        <w:rPr>
          <w:rFonts w:ascii="Tahoma" w:hAnsi="Tahoma" w:cs="Tahoma"/>
          <w:b/>
          <w:sz w:val="24"/>
          <w:szCs w:val="24"/>
        </w:rPr>
        <w:t xml:space="preserve"> na području Općine Cetingrad</w:t>
      </w:r>
    </w:p>
    <w:p w14:paraId="6C718E26" w14:textId="77777777" w:rsidR="00D34A0D" w:rsidRDefault="00D34A0D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B67302E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0B02F9A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221EE716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693FD0E" w14:textId="7ADE05C4" w:rsidR="00D34A0D" w:rsidRPr="006C07FC" w:rsidRDefault="00B3389F" w:rsidP="003D593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236C2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 xml:space="preserve">zvješće o izvršenju Programa </w:t>
      </w:r>
      <w:r w:rsidR="00F0008E">
        <w:rPr>
          <w:rFonts w:ascii="Tahoma" w:hAnsi="Tahoma" w:cs="Tahoma"/>
          <w:sz w:val="24"/>
          <w:szCs w:val="24"/>
        </w:rPr>
        <w:t>održavanja</w:t>
      </w:r>
      <w:r w:rsidR="003D593A">
        <w:rPr>
          <w:rFonts w:ascii="Tahoma" w:hAnsi="Tahoma" w:cs="Tahoma"/>
          <w:sz w:val="24"/>
          <w:szCs w:val="24"/>
        </w:rPr>
        <w:t xml:space="preserve"> k</w:t>
      </w:r>
      <w:r w:rsidR="00F0008E">
        <w:rPr>
          <w:rFonts w:ascii="Tahoma" w:hAnsi="Tahoma" w:cs="Tahoma"/>
          <w:sz w:val="24"/>
          <w:szCs w:val="24"/>
        </w:rPr>
        <w:t xml:space="preserve">omunalne infrastrukture u </w:t>
      </w:r>
      <w:r w:rsidR="004D7A0C">
        <w:rPr>
          <w:rFonts w:ascii="Tahoma" w:hAnsi="Tahoma" w:cs="Tahoma"/>
          <w:sz w:val="24"/>
          <w:szCs w:val="24"/>
        </w:rPr>
        <w:t>za 202</w:t>
      </w:r>
      <w:r w:rsidR="00942BA7">
        <w:rPr>
          <w:rFonts w:ascii="Tahoma" w:hAnsi="Tahoma" w:cs="Tahoma"/>
          <w:sz w:val="24"/>
          <w:szCs w:val="24"/>
        </w:rPr>
        <w:t>3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</w:t>
      </w:r>
      <w:r w:rsidR="00F0008E">
        <w:rPr>
          <w:rFonts w:ascii="Tahoma" w:hAnsi="Tahoma" w:cs="Tahoma"/>
          <w:sz w:val="24"/>
          <w:szCs w:val="24"/>
        </w:rPr>
        <w:t xml:space="preserve"> na području Općine Cetingrad</w:t>
      </w:r>
      <w:r w:rsidR="004D7A0C">
        <w:rPr>
          <w:rFonts w:ascii="Tahoma" w:hAnsi="Tahoma" w:cs="Tahoma"/>
          <w:sz w:val="24"/>
          <w:szCs w:val="24"/>
        </w:rPr>
        <w:t xml:space="preserve">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 za aktivnosti vezane uz</w:t>
      </w:r>
      <w:r w:rsidR="00F0008E">
        <w:rPr>
          <w:rFonts w:ascii="Tahoma" w:hAnsi="Tahoma" w:cs="Tahoma"/>
          <w:sz w:val="24"/>
          <w:szCs w:val="24"/>
        </w:rPr>
        <w:t xml:space="preserve"> održavanje općinskih nerazvrstanih cesta, održavanje javne rasvjete, održavanje javnih površina te održavanje </w:t>
      </w:r>
      <w:r w:rsidR="00CD14A2">
        <w:rPr>
          <w:rFonts w:ascii="Tahoma" w:hAnsi="Tahoma" w:cs="Tahoma"/>
          <w:sz w:val="24"/>
          <w:szCs w:val="24"/>
        </w:rPr>
        <w:t>ostale komunalne infrastrukture</w:t>
      </w:r>
      <w:r w:rsidR="00F0008E">
        <w:rPr>
          <w:rFonts w:ascii="Tahoma" w:hAnsi="Tahoma" w:cs="Tahoma"/>
          <w:sz w:val="24"/>
          <w:szCs w:val="24"/>
        </w:rPr>
        <w:t xml:space="preserve"> 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465FAF31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FD0D1FA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6914423A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93DA62D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C2808">
        <w:rPr>
          <w:rFonts w:ascii="Tahoma" w:hAnsi="Tahoma" w:cs="Tahoma"/>
          <w:sz w:val="24"/>
          <w:szCs w:val="24"/>
        </w:rPr>
        <w:t xml:space="preserve">Program </w:t>
      </w:r>
      <w:r w:rsidR="00F0008E">
        <w:rPr>
          <w:rFonts w:ascii="Tahoma" w:hAnsi="Tahoma" w:cs="Tahoma"/>
          <w:sz w:val="24"/>
          <w:szCs w:val="24"/>
        </w:rPr>
        <w:t>održavanja</w:t>
      </w:r>
      <w:r w:rsidR="003D593A">
        <w:rPr>
          <w:rFonts w:ascii="Tahoma" w:hAnsi="Tahoma" w:cs="Tahoma"/>
          <w:sz w:val="24"/>
          <w:szCs w:val="24"/>
        </w:rPr>
        <w:t xml:space="preserve"> komunalne infrastrukture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5D1CF6E5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B389445" w14:textId="77777777" w:rsidR="00254ACC" w:rsidRPr="00254ACC" w:rsidRDefault="00254ACC" w:rsidP="00F0008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54ACC">
        <w:rPr>
          <w:rFonts w:ascii="Tahoma" w:hAnsi="Tahoma" w:cs="Tahoma"/>
          <w:sz w:val="24"/>
          <w:szCs w:val="24"/>
        </w:rPr>
        <w:t xml:space="preserve">a) </w:t>
      </w:r>
      <w:r w:rsidR="00F0008E">
        <w:rPr>
          <w:rFonts w:ascii="Tahoma" w:hAnsi="Tahoma" w:cs="Tahoma"/>
          <w:sz w:val="24"/>
          <w:szCs w:val="24"/>
        </w:rPr>
        <w:t>Održavanje općinskih nerazvrstanih cesta</w:t>
      </w:r>
    </w:p>
    <w:p w14:paraId="049CF62F" w14:textId="77777777" w:rsidR="00254ACC" w:rsidRDefault="00254ACC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7"/>
        <w:gridCol w:w="3709"/>
        <w:gridCol w:w="1677"/>
        <w:gridCol w:w="1843"/>
      </w:tblGrid>
      <w:tr w:rsidR="00E841D0" w:rsidRPr="00CD14A2" w14:paraId="12FF8133" w14:textId="77777777" w:rsidTr="00E841D0">
        <w:trPr>
          <w:trHeight w:val="2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D17C2" w14:textId="77777777" w:rsidR="00E841D0" w:rsidRPr="00CD14A2" w:rsidRDefault="00E841D0" w:rsidP="00E841D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5272B" w14:textId="77777777" w:rsidR="00E841D0" w:rsidRPr="00CD14A2" w:rsidRDefault="00E841D0" w:rsidP="00E841D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C9793" w14:textId="16BA653D" w:rsidR="00E841D0" w:rsidRPr="00CD14A2" w:rsidRDefault="00E841D0" w:rsidP="00E841D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CD14A2" w:rsidRPr="00CD14A2">
              <w:rPr>
                <w:rFonts w:ascii="Tahoma" w:hAnsi="Tahoma" w:cs="Tahoma"/>
                <w:sz w:val="20"/>
                <w:szCs w:val="20"/>
              </w:rPr>
              <w:t>3</w:t>
            </w:r>
            <w:r w:rsidRPr="00CD14A2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FE560" w14:textId="03E518FB" w:rsidR="00E841D0" w:rsidRPr="00CD14A2" w:rsidRDefault="00E841D0" w:rsidP="00E841D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CD14A2" w:rsidRPr="00CD14A2">
              <w:rPr>
                <w:rFonts w:ascii="Tahoma" w:hAnsi="Tahoma" w:cs="Tahoma"/>
                <w:sz w:val="20"/>
                <w:szCs w:val="20"/>
              </w:rPr>
              <w:t>3</w:t>
            </w:r>
            <w:r w:rsidRPr="00CD14A2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CD14A2" w:rsidRPr="00CD14A2" w14:paraId="07EB48FE" w14:textId="77777777" w:rsidTr="003B0AB3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6F0C3586" w14:textId="24C9CB61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>A100008</w:t>
            </w:r>
          </w:p>
        </w:tc>
        <w:tc>
          <w:tcPr>
            <w:tcW w:w="3709" w:type="dxa"/>
            <w:shd w:val="clear" w:color="auto" w:fill="auto"/>
          </w:tcPr>
          <w:p w14:paraId="426E5821" w14:textId="6C8BFD96" w:rsidR="00CD14A2" w:rsidRPr="00CD14A2" w:rsidRDefault="00CD14A2" w:rsidP="00CD14A2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>Nerazvrstane ceste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E37CCF9" w14:textId="518C49EB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>41.310,00 €</w:t>
            </w:r>
          </w:p>
        </w:tc>
        <w:tc>
          <w:tcPr>
            <w:tcW w:w="1843" w:type="dxa"/>
          </w:tcPr>
          <w:p w14:paraId="5DBF1DE9" w14:textId="2AC9D1E5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30.103,99 €</w:t>
            </w:r>
          </w:p>
        </w:tc>
      </w:tr>
      <w:tr w:rsidR="00CD14A2" w:rsidRPr="00CD14A2" w14:paraId="2D6A126B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685BE77A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28CC1DCC" w14:textId="0DFCA1E7" w:rsidR="00CD14A2" w:rsidRPr="00CD14A2" w:rsidRDefault="00CD14A2" w:rsidP="00CD14A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Materijal za održavanje općinskih nerazvrstanih cesta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99FD2DB" w14:textId="2FDBD31E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6.636,00 €</w:t>
            </w:r>
          </w:p>
        </w:tc>
        <w:tc>
          <w:tcPr>
            <w:tcW w:w="1843" w:type="dxa"/>
            <w:vAlign w:val="center"/>
          </w:tcPr>
          <w:p w14:paraId="4368FACB" w14:textId="20AA4E22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4.699,49 €</w:t>
            </w:r>
          </w:p>
        </w:tc>
      </w:tr>
      <w:tr w:rsidR="00CD14A2" w:rsidRPr="00CD14A2" w14:paraId="6C49EA53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59515016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1F7A4532" w14:textId="1F3EE238" w:rsidR="00CD14A2" w:rsidRPr="00CD14A2" w:rsidRDefault="00CD14A2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0BD438A" w14:textId="77777777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D4DDB2" w14:textId="77777777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CD14A2" w:rsidRPr="00CD14A2" w14:paraId="5BC35BEF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6AAF6B3C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66B1CB04" w14:textId="4A793A49" w:rsidR="00CD14A2" w:rsidRPr="00CD14A2" w:rsidRDefault="00CD14A2" w:rsidP="00CD14A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Usluge tekućeg održavanja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DC639B6" w14:textId="27BDE859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33.674,00 €</w:t>
            </w:r>
          </w:p>
        </w:tc>
        <w:tc>
          <w:tcPr>
            <w:tcW w:w="1843" w:type="dxa"/>
          </w:tcPr>
          <w:p w14:paraId="48A0CC1D" w14:textId="7BD04E7F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24.404,50 €</w:t>
            </w:r>
          </w:p>
        </w:tc>
      </w:tr>
      <w:tr w:rsidR="00CD14A2" w:rsidRPr="00CD14A2" w14:paraId="70D425B9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70AAD323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6472D475" w14:textId="3B877267" w:rsidR="00CD14A2" w:rsidRPr="00CD14A2" w:rsidRDefault="00CD14A2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Izvor 1. Opći prihodi i primici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44D7854" w14:textId="7F9D8CE7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7.969</w:t>
            </w:r>
            <w:r w:rsidR="00CD14A2" w:rsidRPr="00CD14A2">
              <w:rPr>
                <w:rFonts w:ascii="Tahoma" w:hAnsi="Tahoma" w:cs="Tahoma"/>
                <w:i/>
                <w:sz w:val="20"/>
                <w:szCs w:val="20"/>
              </w:rPr>
              <w:t>,00 €</w:t>
            </w:r>
          </w:p>
        </w:tc>
        <w:tc>
          <w:tcPr>
            <w:tcW w:w="1843" w:type="dxa"/>
          </w:tcPr>
          <w:p w14:paraId="4B0DF09A" w14:textId="788751F6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0,00 €</w:t>
            </w:r>
          </w:p>
        </w:tc>
      </w:tr>
      <w:tr w:rsidR="0036254C" w:rsidRPr="00CD14A2" w14:paraId="2C10A19D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40825D2E" w14:textId="77777777" w:rsidR="0036254C" w:rsidRPr="00CD14A2" w:rsidRDefault="0036254C" w:rsidP="00CD14A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643D78DD" w14:textId="49299231" w:rsidR="0036254C" w:rsidRPr="00CD14A2" w:rsidRDefault="0036254C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Izvor 4.7. Prihodi od naknade za zadržavanje nezakonito izgrađenih zgrada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552973F" w14:textId="2D0318B2" w:rsidR="0036254C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1.300,00 €</w:t>
            </w:r>
          </w:p>
        </w:tc>
        <w:tc>
          <w:tcPr>
            <w:tcW w:w="1843" w:type="dxa"/>
            <w:vAlign w:val="center"/>
          </w:tcPr>
          <w:p w14:paraId="6C810102" w14:textId="75F9D0B3" w:rsidR="0036254C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1.259,51 €</w:t>
            </w:r>
          </w:p>
        </w:tc>
      </w:tr>
      <w:tr w:rsidR="00CD14A2" w:rsidRPr="00CD14A2" w14:paraId="5990D82B" w14:textId="77777777" w:rsidTr="00E841D0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15B82BFC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557C2D19" w14:textId="709089D6" w:rsidR="00CD14A2" w:rsidRPr="00CD14A2" w:rsidRDefault="00CD14A2" w:rsidP="00CD14A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Izvor 4.9. Prihodi od komunalne naknade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7DB0E06" w14:textId="7404D4D8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6.155,00 €</w:t>
            </w:r>
          </w:p>
        </w:tc>
        <w:tc>
          <w:tcPr>
            <w:tcW w:w="1843" w:type="dxa"/>
            <w:vAlign w:val="center"/>
          </w:tcPr>
          <w:p w14:paraId="49B5ABE9" w14:textId="46EEC50C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5.144,99 €</w:t>
            </w:r>
          </w:p>
        </w:tc>
      </w:tr>
      <w:tr w:rsidR="00CD14A2" w:rsidRPr="00CD14A2" w14:paraId="158427EF" w14:textId="77777777" w:rsidTr="007C55E1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24C1D140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3A853FBE" w14:textId="78665747" w:rsidR="00CD14A2" w:rsidRPr="00CD14A2" w:rsidRDefault="00CD14A2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Izvor 5.2. Tekuće pomoći iz županijskog proračuna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4EB3E68" w14:textId="092F45E4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18.250,00 €</w:t>
            </w:r>
          </w:p>
        </w:tc>
        <w:tc>
          <w:tcPr>
            <w:tcW w:w="1843" w:type="dxa"/>
            <w:vAlign w:val="center"/>
          </w:tcPr>
          <w:p w14:paraId="6FC5E236" w14:textId="11134397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18.000,00 €</w:t>
            </w:r>
          </w:p>
        </w:tc>
      </w:tr>
      <w:tr w:rsidR="00CD14A2" w:rsidRPr="00CD14A2" w14:paraId="7D602017" w14:textId="77777777" w:rsidTr="007C55E1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14124126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1B59F9D1" w14:textId="7599027C" w:rsidR="00CD14A2" w:rsidRPr="00CD14A2" w:rsidRDefault="00CD14A2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 xml:space="preserve">Stručni nadzor prilikom izvođenja radova sanacije nerazvrstanih cesta u naseljima Glinice i </w:t>
            </w:r>
            <w:proofErr w:type="spellStart"/>
            <w:r w:rsidRPr="00CD14A2">
              <w:rPr>
                <w:rFonts w:ascii="Tahoma" w:hAnsi="Tahoma" w:cs="Tahoma"/>
                <w:sz w:val="20"/>
                <w:szCs w:val="20"/>
              </w:rPr>
              <w:t>Šiljkovača</w:t>
            </w:r>
            <w:proofErr w:type="spellEnd"/>
          </w:p>
        </w:tc>
        <w:tc>
          <w:tcPr>
            <w:tcW w:w="1677" w:type="dxa"/>
            <w:shd w:val="clear" w:color="auto" w:fill="auto"/>
            <w:vAlign w:val="center"/>
          </w:tcPr>
          <w:p w14:paraId="65D18471" w14:textId="0A0133E7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1.000,00 €</w:t>
            </w:r>
          </w:p>
        </w:tc>
        <w:tc>
          <w:tcPr>
            <w:tcW w:w="1843" w:type="dxa"/>
            <w:vAlign w:val="center"/>
          </w:tcPr>
          <w:p w14:paraId="31D2C1C3" w14:textId="66C9E3E2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1.000,00 €</w:t>
            </w:r>
          </w:p>
        </w:tc>
      </w:tr>
      <w:tr w:rsidR="00CD14A2" w:rsidRPr="00CD14A2" w14:paraId="47E99531" w14:textId="77777777" w:rsidTr="007C55E1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6F4CF672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76977509" w14:textId="6B30EB46" w:rsidR="00CD14A2" w:rsidRPr="00CD14A2" w:rsidRDefault="00CD14A2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Izvor 3. Vlastiti prihodi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B71E3C4" w14:textId="77777777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3B95AB" w14:textId="77777777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09FCA81C" w14:textId="016B8470" w:rsidR="004C782F" w:rsidRPr="0036254C" w:rsidRDefault="00E841D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6254C">
        <w:rPr>
          <w:rFonts w:ascii="Tahoma" w:hAnsi="Tahoma" w:cs="Tahoma"/>
          <w:sz w:val="24"/>
          <w:szCs w:val="24"/>
        </w:rPr>
        <w:t xml:space="preserve">Sredstva u iznosu od </w:t>
      </w:r>
      <w:r w:rsidR="0036254C" w:rsidRPr="0036254C">
        <w:rPr>
          <w:rFonts w:ascii="Tahoma" w:hAnsi="Tahoma" w:cs="Tahoma"/>
          <w:sz w:val="24"/>
          <w:szCs w:val="24"/>
        </w:rPr>
        <w:t>4.699,49 €</w:t>
      </w:r>
      <w:r w:rsidRPr="0036254C">
        <w:rPr>
          <w:rFonts w:ascii="Tahoma" w:hAnsi="Tahoma" w:cs="Tahoma"/>
          <w:sz w:val="24"/>
          <w:szCs w:val="24"/>
        </w:rPr>
        <w:t xml:space="preserve"> utrošena su na </w:t>
      </w:r>
      <w:r w:rsidR="0036254C" w:rsidRPr="0036254C">
        <w:rPr>
          <w:rFonts w:ascii="Tahoma" w:hAnsi="Tahoma" w:cs="Tahoma"/>
          <w:sz w:val="24"/>
          <w:szCs w:val="24"/>
        </w:rPr>
        <w:t>419</w:t>
      </w:r>
      <w:r w:rsidR="001470C8" w:rsidRPr="0036254C">
        <w:rPr>
          <w:rFonts w:ascii="Tahoma" w:hAnsi="Tahoma" w:cs="Tahoma"/>
          <w:sz w:val="24"/>
          <w:szCs w:val="24"/>
        </w:rPr>
        <w:t xml:space="preserve"> </w:t>
      </w:r>
      <w:r w:rsidRPr="0036254C">
        <w:rPr>
          <w:rFonts w:ascii="Tahoma" w:hAnsi="Tahoma" w:cs="Tahoma"/>
          <w:sz w:val="24"/>
          <w:szCs w:val="24"/>
        </w:rPr>
        <w:t>m</w:t>
      </w:r>
      <w:r w:rsidRPr="0036254C">
        <w:rPr>
          <w:rFonts w:ascii="Calibri" w:hAnsi="Calibri" w:cs="Calibri"/>
          <w:sz w:val="24"/>
          <w:szCs w:val="24"/>
        </w:rPr>
        <w:t>³</w:t>
      </w:r>
      <w:r w:rsidR="001470C8" w:rsidRPr="0036254C">
        <w:rPr>
          <w:rFonts w:ascii="Tahoma" w:hAnsi="Tahoma" w:cs="Tahoma"/>
          <w:sz w:val="24"/>
          <w:szCs w:val="24"/>
        </w:rPr>
        <w:t xml:space="preserve"> kamenog agregata</w:t>
      </w:r>
      <w:r w:rsidRPr="0036254C">
        <w:rPr>
          <w:rFonts w:ascii="Tahoma" w:hAnsi="Tahoma" w:cs="Tahoma"/>
          <w:sz w:val="24"/>
          <w:szCs w:val="24"/>
        </w:rPr>
        <w:t xml:space="preserve"> koje je prema potreba na terenu </w:t>
      </w:r>
      <w:r w:rsidR="001470C8" w:rsidRPr="0036254C">
        <w:rPr>
          <w:rFonts w:ascii="Tahoma" w:hAnsi="Tahoma" w:cs="Tahoma"/>
          <w:sz w:val="24"/>
          <w:szCs w:val="24"/>
        </w:rPr>
        <w:t xml:space="preserve">raspoređivan po makadamskim dijelovima općinskih nerazvrstanih cesta, neke od cesta koje su se posipavale je cesta u </w:t>
      </w:r>
      <w:proofErr w:type="spellStart"/>
      <w:r w:rsidR="001470C8" w:rsidRPr="0036254C">
        <w:rPr>
          <w:rFonts w:ascii="Tahoma" w:hAnsi="Tahoma" w:cs="Tahoma"/>
          <w:sz w:val="24"/>
          <w:szCs w:val="24"/>
        </w:rPr>
        <w:t>Maljevačkom</w:t>
      </w:r>
      <w:proofErr w:type="spellEnd"/>
      <w:r w:rsidR="001470C8" w:rsidRPr="0036254C">
        <w:rPr>
          <w:rFonts w:ascii="Tahoma" w:hAnsi="Tahoma" w:cs="Tahoma"/>
          <w:sz w:val="24"/>
          <w:szCs w:val="24"/>
        </w:rPr>
        <w:t xml:space="preserve"> Selištu, cesta u </w:t>
      </w:r>
      <w:proofErr w:type="spellStart"/>
      <w:r w:rsidR="001470C8" w:rsidRPr="0036254C">
        <w:rPr>
          <w:rFonts w:ascii="Tahoma" w:hAnsi="Tahoma" w:cs="Tahoma"/>
          <w:sz w:val="24"/>
          <w:szCs w:val="24"/>
        </w:rPr>
        <w:t>Komesarcu</w:t>
      </w:r>
      <w:proofErr w:type="spellEnd"/>
      <w:r w:rsidR="001470C8" w:rsidRPr="0036254C">
        <w:rPr>
          <w:rFonts w:ascii="Tahoma" w:hAnsi="Tahoma" w:cs="Tahoma"/>
          <w:sz w:val="24"/>
          <w:szCs w:val="24"/>
        </w:rPr>
        <w:t xml:space="preserve">, </w:t>
      </w:r>
      <w:r w:rsidR="003C606E" w:rsidRPr="0036254C">
        <w:rPr>
          <w:rFonts w:ascii="Tahoma" w:hAnsi="Tahoma" w:cs="Tahoma"/>
          <w:sz w:val="24"/>
          <w:szCs w:val="24"/>
        </w:rPr>
        <w:t xml:space="preserve">cesta u </w:t>
      </w:r>
      <w:proofErr w:type="spellStart"/>
      <w:r w:rsidR="0036254C" w:rsidRPr="0036254C">
        <w:rPr>
          <w:rFonts w:ascii="Tahoma" w:hAnsi="Tahoma" w:cs="Tahoma"/>
          <w:sz w:val="24"/>
          <w:szCs w:val="24"/>
        </w:rPr>
        <w:t>Jagrovcu</w:t>
      </w:r>
      <w:proofErr w:type="spellEnd"/>
      <w:r w:rsidR="003C606E" w:rsidRPr="0036254C">
        <w:rPr>
          <w:rFonts w:ascii="Tahoma" w:hAnsi="Tahoma" w:cs="Tahoma"/>
          <w:sz w:val="24"/>
          <w:szCs w:val="24"/>
        </w:rPr>
        <w:t xml:space="preserve">, cesta u </w:t>
      </w:r>
      <w:proofErr w:type="spellStart"/>
      <w:r w:rsidR="0036254C" w:rsidRPr="0036254C">
        <w:rPr>
          <w:rFonts w:ascii="Tahoma" w:hAnsi="Tahoma" w:cs="Tahoma"/>
          <w:sz w:val="24"/>
          <w:szCs w:val="24"/>
        </w:rPr>
        <w:t>Đurin</w:t>
      </w:r>
      <w:proofErr w:type="spellEnd"/>
      <w:r w:rsidR="0036254C" w:rsidRPr="0036254C">
        <w:rPr>
          <w:rFonts w:ascii="Tahoma" w:hAnsi="Tahoma" w:cs="Tahoma"/>
          <w:sz w:val="24"/>
          <w:szCs w:val="24"/>
        </w:rPr>
        <w:t xml:space="preserve"> Potoku, cesta u Tatar Varošu</w:t>
      </w:r>
      <w:r w:rsidR="00E37341" w:rsidRPr="0036254C">
        <w:rPr>
          <w:rFonts w:ascii="Tahoma" w:hAnsi="Tahoma" w:cs="Tahoma"/>
          <w:sz w:val="24"/>
          <w:szCs w:val="24"/>
        </w:rPr>
        <w:t xml:space="preserve"> cesta prema Lukama</w:t>
      </w:r>
      <w:r w:rsidR="003C606E" w:rsidRPr="0036254C">
        <w:rPr>
          <w:rFonts w:ascii="Tahoma" w:hAnsi="Tahoma" w:cs="Tahoma"/>
          <w:sz w:val="24"/>
          <w:szCs w:val="24"/>
        </w:rPr>
        <w:t xml:space="preserve"> te ostale manje popravke gdje se pokazala potreba.</w:t>
      </w:r>
      <w:r w:rsidR="0036254C">
        <w:rPr>
          <w:rFonts w:ascii="Tahoma" w:hAnsi="Tahoma" w:cs="Tahoma"/>
          <w:sz w:val="24"/>
          <w:szCs w:val="24"/>
        </w:rPr>
        <w:t xml:space="preserve"> Sredstva u iznosu od 24.404,50 € utrošena su na sanaciju asfalta na nerazvrstanim cestama u naseljima Glinice i </w:t>
      </w:r>
      <w:proofErr w:type="spellStart"/>
      <w:r w:rsidR="0036254C">
        <w:rPr>
          <w:rFonts w:ascii="Tahoma" w:hAnsi="Tahoma" w:cs="Tahoma"/>
          <w:sz w:val="24"/>
          <w:szCs w:val="24"/>
        </w:rPr>
        <w:t>Šiljkovača</w:t>
      </w:r>
      <w:proofErr w:type="spellEnd"/>
      <w:r w:rsidR="0036254C">
        <w:rPr>
          <w:rFonts w:ascii="Tahoma" w:hAnsi="Tahoma" w:cs="Tahoma"/>
          <w:sz w:val="24"/>
          <w:szCs w:val="24"/>
        </w:rPr>
        <w:t>, dio sredstava osiguran je iz tekućih pomoći županijskog proračuna. Sredstva u iznosu od 1.000,00 € utrošena su troškove stručnog nadzora prilikom izvođenja radova.</w:t>
      </w:r>
    </w:p>
    <w:p w14:paraId="3CC9FB0F" w14:textId="77777777" w:rsidR="00312091" w:rsidRDefault="00312091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7"/>
        <w:gridCol w:w="3709"/>
        <w:gridCol w:w="1677"/>
        <w:gridCol w:w="1677"/>
      </w:tblGrid>
      <w:tr w:rsidR="00177F5A" w:rsidRPr="00CD14A2" w14:paraId="3B27A7F0" w14:textId="77777777" w:rsidTr="00177F5A">
        <w:trPr>
          <w:trHeight w:val="2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153D4" w14:textId="77777777" w:rsidR="00177F5A" w:rsidRPr="00CD14A2" w:rsidRDefault="00177F5A" w:rsidP="00177F5A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9BCA3" w14:textId="77777777" w:rsidR="00177F5A" w:rsidRPr="00CD14A2" w:rsidRDefault="00177F5A" w:rsidP="00177F5A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6A423" w14:textId="49EAAE69" w:rsidR="00177F5A" w:rsidRPr="00CD14A2" w:rsidRDefault="00177F5A" w:rsidP="00177F5A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CD14A2" w:rsidRPr="00CD14A2">
              <w:rPr>
                <w:rFonts w:ascii="Tahoma" w:hAnsi="Tahoma" w:cs="Tahoma"/>
                <w:sz w:val="20"/>
                <w:szCs w:val="20"/>
              </w:rPr>
              <w:t>3</w:t>
            </w:r>
            <w:r w:rsidRPr="00CD14A2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3B446" w14:textId="4E2C6E15" w:rsidR="00177F5A" w:rsidRPr="00CD14A2" w:rsidRDefault="00177F5A" w:rsidP="00177F5A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CD14A2" w:rsidRPr="00CD14A2">
              <w:rPr>
                <w:rFonts w:ascii="Tahoma" w:hAnsi="Tahoma" w:cs="Tahoma"/>
                <w:sz w:val="20"/>
                <w:szCs w:val="20"/>
              </w:rPr>
              <w:t>3</w:t>
            </w:r>
            <w:r w:rsidRPr="00CD14A2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CD14A2" w:rsidRPr="00CD14A2" w14:paraId="13C7FBEA" w14:textId="77777777" w:rsidTr="0006789D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7B62791A" w14:textId="62157B9D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>A100009</w:t>
            </w:r>
          </w:p>
        </w:tc>
        <w:tc>
          <w:tcPr>
            <w:tcW w:w="3709" w:type="dxa"/>
            <w:shd w:val="clear" w:color="auto" w:fill="auto"/>
          </w:tcPr>
          <w:p w14:paraId="0BCCCF43" w14:textId="6D341052" w:rsidR="00CD14A2" w:rsidRPr="00CD14A2" w:rsidRDefault="00CD14A2" w:rsidP="00CD14A2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>Zimska služba</w:t>
            </w:r>
          </w:p>
        </w:tc>
        <w:tc>
          <w:tcPr>
            <w:tcW w:w="1677" w:type="dxa"/>
            <w:vAlign w:val="center"/>
          </w:tcPr>
          <w:p w14:paraId="4B37F7B5" w14:textId="01631546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>38.804,00 €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D26C7B3" w14:textId="40B36A01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23.518,01 €</w:t>
            </w:r>
          </w:p>
        </w:tc>
      </w:tr>
      <w:tr w:rsidR="00CD14A2" w:rsidRPr="00CD14A2" w14:paraId="123FFC5F" w14:textId="77777777" w:rsidTr="0006789D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7A180A55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07516647" w14:textId="5133DF18" w:rsidR="00CD14A2" w:rsidRPr="00CD14A2" w:rsidRDefault="00CD14A2" w:rsidP="00CD14A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iCs/>
                <w:sz w:val="20"/>
                <w:szCs w:val="20"/>
              </w:rPr>
              <w:t>Izvor 4.9. Prihodi od komunalne naknade</w:t>
            </w:r>
          </w:p>
        </w:tc>
        <w:tc>
          <w:tcPr>
            <w:tcW w:w="1677" w:type="dxa"/>
            <w:vAlign w:val="center"/>
          </w:tcPr>
          <w:p w14:paraId="58CD6DF6" w14:textId="4E026C31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iCs/>
                <w:sz w:val="20"/>
                <w:szCs w:val="20"/>
              </w:rPr>
              <w:t>804,00  €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C004ABC" w14:textId="2535D693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CD14A2" w:rsidRPr="00CD14A2" w14:paraId="38AFD41D" w14:textId="77777777" w:rsidTr="0006789D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15151394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649CD3C7" w14:textId="4DFD7C40" w:rsidR="00CD14A2" w:rsidRPr="00CD14A2" w:rsidRDefault="00CD14A2" w:rsidP="00CD14A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iCs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677" w:type="dxa"/>
            <w:vAlign w:val="center"/>
          </w:tcPr>
          <w:p w14:paraId="6F757047" w14:textId="10948509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iCs/>
                <w:sz w:val="20"/>
                <w:szCs w:val="20"/>
              </w:rPr>
              <w:t>19.220,00 €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7613EB8" w14:textId="7CF9AD4B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4.737,84 €</w:t>
            </w:r>
          </w:p>
        </w:tc>
      </w:tr>
      <w:tr w:rsidR="00CD14A2" w:rsidRPr="00CD14A2" w14:paraId="27744EB5" w14:textId="77777777" w:rsidTr="0006789D">
        <w:trPr>
          <w:trHeight w:val="20"/>
          <w:jc w:val="center"/>
        </w:trPr>
        <w:tc>
          <w:tcPr>
            <w:tcW w:w="1027" w:type="dxa"/>
            <w:shd w:val="clear" w:color="auto" w:fill="auto"/>
          </w:tcPr>
          <w:p w14:paraId="1B22951E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09" w:type="dxa"/>
            <w:shd w:val="clear" w:color="auto" w:fill="auto"/>
          </w:tcPr>
          <w:p w14:paraId="18BF5433" w14:textId="2CC05F52" w:rsidR="00CD14A2" w:rsidRPr="00CD14A2" w:rsidRDefault="00CD14A2" w:rsidP="00CD14A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iCs/>
                <w:sz w:val="20"/>
                <w:szCs w:val="20"/>
              </w:rPr>
              <w:t>Izvor 5.4. Tekuće pomoći od ostalih izvanproračunskih korisnika državnog proračuna</w:t>
            </w:r>
          </w:p>
        </w:tc>
        <w:tc>
          <w:tcPr>
            <w:tcW w:w="1677" w:type="dxa"/>
            <w:vAlign w:val="center"/>
          </w:tcPr>
          <w:p w14:paraId="7F0DFA1F" w14:textId="6B159757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iCs/>
                <w:sz w:val="20"/>
                <w:szCs w:val="20"/>
              </w:rPr>
              <w:t>18.780,00 €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641700C" w14:textId="0E9EF121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18.780,17 €</w:t>
            </w:r>
          </w:p>
        </w:tc>
      </w:tr>
    </w:tbl>
    <w:p w14:paraId="3BC17578" w14:textId="328F7BF4" w:rsidR="00312091" w:rsidRPr="0036254C" w:rsidRDefault="00177F5A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FF4052" w:rsidRPr="0036254C">
        <w:rPr>
          <w:rFonts w:ascii="Tahoma" w:hAnsi="Tahoma" w:cs="Tahoma"/>
          <w:sz w:val="24"/>
          <w:szCs w:val="24"/>
        </w:rPr>
        <w:t xml:space="preserve">Čišćenje snijega na nerazvrstanim cestama vršilo se sukladno Programu zimske službe. Nakon provedene javne nabave Zimska služba povjerena je Valentić </w:t>
      </w:r>
      <w:proofErr w:type="spellStart"/>
      <w:r w:rsidR="00FF4052" w:rsidRPr="0036254C">
        <w:rPr>
          <w:rFonts w:ascii="Tahoma" w:hAnsi="Tahoma" w:cs="Tahoma"/>
          <w:sz w:val="24"/>
          <w:szCs w:val="24"/>
        </w:rPr>
        <w:t>toursu</w:t>
      </w:r>
      <w:proofErr w:type="spellEnd"/>
      <w:r w:rsidR="00FF4052" w:rsidRPr="0036254C">
        <w:rPr>
          <w:rFonts w:ascii="Tahoma" w:hAnsi="Tahoma" w:cs="Tahoma"/>
          <w:sz w:val="24"/>
          <w:szCs w:val="24"/>
        </w:rPr>
        <w:t>, uz stalnu koordinaciju s djelatnikom Općine</w:t>
      </w:r>
      <w:r w:rsidR="00795FB2" w:rsidRPr="0036254C">
        <w:rPr>
          <w:rFonts w:ascii="Tahoma" w:hAnsi="Tahoma" w:cs="Tahoma"/>
          <w:sz w:val="24"/>
          <w:szCs w:val="24"/>
        </w:rPr>
        <w:t xml:space="preserve">. Troškovi su </w:t>
      </w:r>
      <w:r w:rsidR="0036254C" w:rsidRPr="0036254C">
        <w:rPr>
          <w:rFonts w:ascii="Tahoma" w:hAnsi="Tahoma" w:cs="Tahoma"/>
          <w:sz w:val="24"/>
          <w:szCs w:val="24"/>
        </w:rPr>
        <w:t>su</w:t>
      </w:r>
      <w:r w:rsidR="00795FB2" w:rsidRPr="0036254C">
        <w:rPr>
          <w:rFonts w:ascii="Tahoma" w:hAnsi="Tahoma" w:cs="Tahoma"/>
          <w:sz w:val="24"/>
          <w:szCs w:val="24"/>
        </w:rPr>
        <w:t>financirani tekućim pomoćima Hrvatskih cesta</w:t>
      </w:r>
      <w:r w:rsidR="00694042" w:rsidRPr="0036254C">
        <w:rPr>
          <w:rFonts w:ascii="Tahoma" w:hAnsi="Tahoma" w:cs="Tahoma"/>
          <w:sz w:val="24"/>
          <w:szCs w:val="24"/>
        </w:rPr>
        <w:t>.</w:t>
      </w:r>
    </w:p>
    <w:p w14:paraId="07C455D6" w14:textId="77777777" w:rsidR="00F0008E" w:rsidRDefault="00F0008E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21DB309" w14:textId="77777777" w:rsidR="004C782F" w:rsidRDefault="004C782F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b) </w:t>
      </w:r>
      <w:r w:rsidR="00464B7E">
        <w:rPr>
          <w:rFonts w:ascii="Tahoma" w:hAnsi="Tahoma" w:cs="Tahoma"/>
          <w:sz w:val="24"/>
          <w:szCs w:val="24"/>
        </w:rPr>
        <w:t>O</w:t>
      </w:r>
      <w:r w:rsidR="00694042">
        <w:rPr>
          <w:rFonts w:ascii="Tahoma" w:hAnsi="Tahoma" w:cs="Tahoma"/>
          <w:sz w:val="24"/>
          <w:szCs w:val="24"/>
        </w:rPr>
        <w:t>državanje javne rasvjete</w:t>
      </w:r>
    </w:p>
    <w:p w14:paraId="186A0DE7" w14:textId="77777777" w:rsidR="00694042" w:rsidRDefault="0069404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2"/>
        <w:gridCol w:w="3548"/>
        <w:gridCol w:w="1618"/>
        <w:gridCol w:w="1780"/>
      </w:tblGrid>
      <w:tr w:rsidR="00694042" w:rsidRPr="00CD14A2" w14:paraId="39BA1E21" w14:textId="77777777" w:rsidTr="00766F40">
        <w:trPr>
          <w:trHeight w:val="2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42226" w14:textId="77777777" w:rsidR="00694042" w:rsidRPr="00CD14A2" w:rsidRDefault="00694042" w:rsidP="0069404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ECD5E" w14:textId="77777777" w:rsidR="00694042" w:rsidRPr="00CD14A2" w:rsidRDefault="00694042" w:rsidP="0069404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96683" w14:textId="2D379979" w:rsidR="00694042" w:rsidRPr="00CD14A2" w:rsidRDefault="00694042" w:rsidP="0069404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CD14A2" w:rsidRPr="00CD14A2">
              <w:rPr>
                <w:rFonts w:ascii="Tahoma" w:hAnsi="Tahoma" w:cs="Tahoma"/>
                <w:sz w:val="20"/>
                <w:szCs w:val="20"/>
              </w:rPr>
              <w:t>3</w:t>
            </w:r>
            <w:r w:rsidRPr="00CD14A2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EA7D9" w14:textId="40B28625" w:rsidR="00694042" w:rsidRPr="00CD14A2" w:rsidRDefault="00694042" w:rsidP="00694042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CD14A2" w:rsidRPr="00CD14A2">
              <w:rPr>
                <w:rFonts w:ascii="Tahoma" w:hAnsi="Tahoma" w:cs="Tahoma"/>
                <w:sz w:val="20"/>
                <w:szCs w:val="20"/>
              </w:rPr>
              <w:t>3</w:t>
            </w:r>
            <w:r w:rsidRPr="00CD14A2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CD14A2" w:rsidRPr="00CD14A2" w14:paraId="61A692B2" w14:textId="77777777" w:rsidTr="00766F40">
        <w:trPr>
          <w:trHeight w:val="20"/>
          <w:jc w:val="center"/>
        </w:trPr>
        <w:tc>
          <w:tcPr>
            <w:tcW w:w="1152" w:type="dxa"/>
            <w:shd w:val="clear" w:color="auto" w:fill="auto"/>
          </w:tcPr>
          <w:p w14:paraId="342299DA" w14:textId="2CB90000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>A100007</w:t>
            </w:r>
          </w:p>
        </w:tc>
        <w:tc>
          <w:tcPr>
            <w:tcW w:w="3548" w:type="dxa"/>
            <w:shd w:val="clear" w:color="auto" w:fill="auto"/>
          </w:tcPr>
          <w:p w14:paraId="2E750D13" w14:textId="5041C096" w:rsidR="00CD14A2" w:rsidRPr="00CD14A2" w:rsidRDefault="00CD14A2" w:rsidP="00CD14A2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 xml:space="preserve">Javna rasvjeta 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B835350" w14:textId="05862A5D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>45.060,00 €</w:t>
            </w:r>
          </w:p>
        </w:tc>
        <w:tc>
          <w:tcPr>
            <w:tcW w:w="1780" w:type="dxa"/>
          </w:tcPr>
          <w:p w14:paraId="582013DB" w14:textId="1F40FFF0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39.551,51 €</w:t>
            </w:r>
          </w:p>
        </w:tc>
      </w:tr>
      <w:tr w:rsidR="00CD14A2" w:rsidRPr="00CD14A2" w14:paraId="21017110" w14:textId="77777777" w:rsidTr="0050316E">
        <w:trPr>
          <w:trHeight w:val="20"/>
          <w:jc w:val="center"/>
        </w:trPr>
        <w:tc>
          <w:tcPr>
            <w:tcW w:w="1152" w:type="dxa"/>
            <w:shd w:val="clear" w:color="auto" w:fill="auto"/>
          </w:tcPr>
          <w:p w14:paraId="4E56A435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6CE67485" w14:textId="0713EC88" w:rsidR="00CD14A2" w:rsidRPr="00CD14A2" w:rsidRDefault="00CD14A2" w:rsidP="00CD14A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Električna energija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110867" w14:textId="2265E078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40.090,00 €</w:t>
            </w:r>
          </w:p>
        </w:tc>
        <w:tc>
          <w:tcPr>
            <w:tcW w:w="1780" w:type="dxa"/>
          </w:tcPr>
          <w:p w14:paraId="087C3B73" w14:textId="2AE12733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35.148,31€</w:t>
            </w:r>
          </w:p>
        </w:tc>
      </w:tr>
      <w:tr w:rsidR="00CD14A2" w:rsidRPr="00CD14A2" w14:paraId="7A4C6C91" w14:textId="77777777" w:rsidTr="0050316E">
        <w:trPr>
          <w:trHeight w:val="20"/>
          <w:jc w:val="center"/>
        </w:trPr>
        <w:tc>
          <w:tcPr>
            <w:tcW w:w="1152" w:type="dxa"/>
            <w:shd w:val="clear" w:color="auto" w:fill="auto"/>
          </w:tcPr>
          <w:p w14:paraId="4F5B34D3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79065D76" w14:textId="396124E0" w:rsidR="00CD14A2" w:rsidRPr="00CD14A2" w:rsidRDefault="00CD14A2" w:rsidP="00CD14A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Izvor 1. Opći prihodi i primici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3C7DC5" w14:textId="5ED07193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2.000,00 €</w:t>
            </w:r>
          </w:p>
        </w:tc>
        <w:tc>
          <w:tcPr>
            <w:tcW w:w="1780" w:type="dxa"/>
          </w:tcPr>
          <w:p w14:paraId="1FB19276" w14:textId="6993AB5A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CD14A2" w:rsidRPr="00CD14A2" w14:paraId="0DFBFB66" w14:textId="77777777" w:rsidTr="0050316E">
        <w:trPr>
          <w:trHeight w:val="20"/>
          <w:jc w:val="center"/>
        </w:trPr>
        <w:tc>
          <w:tcPr>
            <w:tcW w:w="1152" w:type="dxa"/>
            <w:shd w:val="clear" w:color="auto" w:fill="auto"/>
          </w:tcPr>
          <w:p w14:paraId="60EDDD40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204DD3B7" w14:textId="7DA20A30" w:rsidR="00CD14A2" w:rsidRPr="00CD14A2" w:rsidRDefault="00CD14A2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4BFE9CC" w14:textId="4C6DC1F5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38.090,00 €</w:t>
            </w:r>
          </w:p>
        </w:tc>
        <w:tc>
          <w:tcPr>
            <w:tcW w:w="1780" w:type="dxa"/>
          </w:tcPr>
          <w:p w14:paraId="31791A8A" w14:textId="464C4826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35.184,31 €</w:t>
            </w:r>
          </w:p>
        </w:tc>
      </w:tr>
      <w:tr w:rsidR="00CD14A2" w:rsidRPr="00CD14A2" w14:paraId="5633975A" w14:textId="77777777" w:rsidTr="0050316E">
        <w:trPr>
          <w:trHeight w:val="20"/>
          <w:jc w:val="center"/>
        </w:trPr>
        <w:tc>
          <w:tcPr>
            <w:tcW w:w="1152" w:type="dxa"/>
            <w:shd w:val="clear" w:color="auto" w:fill="auto"/>
          </w:tcPr>
          <w:p w14:paraId="4F15319E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7B1D4DCA" w14:textId="29B6AAD9" w:rsidR="00CD14A2" w:rsidRPr="00CD14A2" w:rsidRDefault="00CD14A2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Usluge tekućeg održavanja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E3E44F5" w14:textId="5FC50E50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4.970,00 €</w:t>
            </w:r>
          </w:p>
        </w:tc>
        <w:tc>
          <w:tcPr>
            <w:tcW w:w="1780" w:type="dxa"/>
          </w:tcPr>
          <w:p w14:paraId="25E8272C" w14:textId="197E0893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4.367,20€</w:t>
            </w:r>
          </w:p>
        </w:tc>
      </w:tr>
      <w:tr w:rsidR="00CD14A2" w:rsidRPr="00CD14A2" w14:paraId="5DAE5620" w14:textId="77777777" w:rsidTr="0036254C">
        <w:trPr>
          <w:trHeight w:val="20"/>
          <w:jc w:val="center"/>
        </w:trPr>
        <w:tc>
          <w:tcPr>
            <w:tcW w:w="1152" w:type="dxa"/>
            <w:shd w:val="clear" w:color="auto" w:fill="auto"/>
          </w:tcPr>
          <w:p w14:paraId="428208E0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119B5A09" w14:textId="25C2F7D8" w:rsidR="00CD14A2" w:rsidRPr="00CD14A2" w:rsidRDefault="00CD14A2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Izvor 4.9. Prihod od komunalne naknade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D9CAE3" w14:textId="43AAD8B5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2.979,00 €</w:t>
            </w:r>
          </w:p>
        </w:tc>
        <w:tc>
          <w:tcPr>
            <w:tcW w:w="1780" w:type="dxa"/>
            <w:vAlign w:val="center"/>
          </w:tcPr>
          <w:p w14:paraId="3149221C" w14:textId="79613D55" w:rsidR="00CD14A2" w:rsidRPr="00CD14A2" w:rsidRDefault="0036254C" w:rsidP="0036254C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2.979,00 €</w:t>
            </w:r>
          </w:p>
        </w:tc>
      </w:tr>
      <w:tr w:rsidR="00CD14A2" w:rsidRPr="00CD14A2" w14:paraId="0932CDB0" w14:textId="77777777" w:rsidTr="0050316E">
        <w:trPr>
          <w:trHeight w:val="20"/>
          <w:jc w:val="center"/>
        </w:trPr>
        <w:tc>
          <w:tcPr>
            <w:tcW w:w="1152" w:type="dxa"/>
            <w:shd w:val="clear" w:color="auto" w:fill="auto"/>
          </w:tcPr>
          <w:p w14:paraId="1630715C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5B798434" w14:textId="7D097D6D" w:rsidR="00CD14A2" w:rsidRPr="00CD14A2" w:rsidRDefault="00CD14A2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Izvor 4.3. Doprinos za šume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D1980E" w14:textId="701DAA0B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1.991,00 €</w:t>
            </w:r>
          </w:p>
        </w:tc>
        <w:tc>
          <w:tcPr>
            <w:tcW w:w="1780" w:type="dxa"/>
          </w:tcPr>
          <w:p w14:paraId="06C330C6" w14:textId="5F0F1C67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1.388,20 €</w:t>
            </w:r>
          </w:p>
        </w:tc>
      </w:tr>
    </w:tbl>
    <w:p w14:paraId="16E834AD" w14:textId="652CEE60" w:rsidR="00694042" w:rsidRPr="0036254C" w:rsidRDefault="00675BBA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6254C">
        <w:rPr>
          <w:rFonts w:ascii="Tahoma" w:hAnsi="Tahoma" w:cs="Tahoma"/>
          <w:sz w:val="24"/>
          <w:szCs w:val="24"/>
        </w:rPr>
        <w:t xml:space="preserve">Sredstva u iznosu od </w:t>
      </w:r>
      <w:r w:rsidR="0036254C" w:rsidRPr="0036254C">
        <w:rPr>
          <w:rFonts w:ascii="Tahoma" w:hAnsi="Tahoma" w:cs="Tahoma"/>
          <w:sz w:val="24"/>
          <w:szCs w:val="24"/>
        </w:rPr>
        <w:t>35.148,31 €</w:t>
      </w:r>
      <w:r w:rsidRPr="0036254C">
        <w:rPr>
          <w:rFonts w:ascii="Tahoma" w:hAnsi="Tahoma" w:cs="Tahoma"/>
          <w:sz w:val="24"/>
          <w:szCs w:val="24"/>
        </w:rPr>
        <w:t xml:space="preserve"> utrošena su na električnu energiju javne rasvjete, zbog instaliranja energetski učinkovite javne rasvjete značajno je manja potrošnja električne energije u odnosu na prethodne godine. Iznos od </w:t>
      </w:r>
      <w:r w:rsidR="0036254C" w:rsidRPr="0036254C">
        <w:rPr>
          <w:rFonts w:ascii="Tahoma" w:hAnsi="Tahoma" w:cs="Tahoma"/>
          <w:sz w:val="24"/>
          <w:szCs w:val="24"/>
        </w:rPr>
        <w:t>4.367,20 €</w:t>
      </w:r>
      <w:r w:rsidRPr="0036254C">
        <w:rPr>
          <w:rFonts w:ascii="Tahoma" w:hAnsi="Tahoma" w:cs="Tahoma"/>
          <w:sz w:val="24"/>
          <w:szCs w:val="24"/>
        </w:rPr>
        <w:t xml:space="preserve"> utrošen je na redovito </w:t>
      </w:r>
      <w:r w:rsidRPr="0036254C">
        <w:rPr>
          <w:rFonts w:ascii="Tahoma" w:hAnsi="Tahoma" w:cs="Tahoma"/>
          <w:sz w:val="24"/>
          <w:szCs w:val="24"/>
        </w:rPr>
        <w:lastRenderedPageBreak/>
        <w:t>servisiranje uređaja javne rasvjete, na zamjenu neispravnih rasvjetnih tijela, na spajanje ukrasnih rasvjetnih tijela za vrijeme Božićnih blagdana te ostale usluge održavanja javne rasvjete.</w:t>
      </w:r>
    </w:p>
    <w:p w14:paraId="6539824C" w14:textId="77777777" w:rsidR="004C782F" w:rsidRDefault="004C782F" w:rsidP="00817E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A489950" w14:textId="77777777" w:rsidR="008C3CF2" w:rsidRDefault="008C3CF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c) </w:t>
      </w:r>
      <w:r w:rsidR="00464B7E">
        <w:rPr>
          <w:rFonts w:ascii="Tahoma" w:hAnsi="Tahoma" w:cs="Tahoma"/>
          <w:sz w:val="24"/>
          <w:szCs w:val="24"/>
        </w:rPr>
        <w:t>Održavanje javnih</w:t>
      </w:r>
      <w:r>
        <w:rPr>
          <w:rFonts w:ascii="Tahoma" w:hAnsi="Tahoma" w:cs="Tahoma"/>
          <w:sz w:val="24"/>
          <w:szCs w:val="24"/>
        </w:rPr>
        <w:t xml:space="preserve"> površin</w:t>
      </w:r>
      <w:r w:rsidR="00464B7E">
        <w:rPr>
          <w:rFonts w:ascii="Tahoma" w:hAnsi="Tahoma" w:cs="Tahoma"/>
          <w:sz w:val="24"/>
          <w:szCs w:val="24"/>
        </w:rPr>
        <w:t>a</w:t>
      </w:r>
    </w:p>
    <w:p w14:paraId="7E2E8DFE" w14:textId="77777777" w:rsidR="008C3CF2" w:rsidRDefault="008C3CF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0"/>
        <w:gridCol w:w="3618"/>
        <w:gridCol w:w="1843"/>
        <w:gridCol w:w="1714"/>
      </w:tblGrid>
      <w:tr w:rsidR="00464B7E" w:rsidRPr="00CD14A2" w14:paraId="74A2B87E" w14:textId="77777777" w:rsidTr="00464B7E">
        <w:trPr>
          <w:trHeight w:val="2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A33BF" w14:textId="77777777" w:rsidR="00464B7E" w:rsidRPr="00CD14A2" w:rsidRDefault="00464B7E" w:rsidP="00464B7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00493" w14:textId="77777777" w:rsidR="00464B7E" w:rsidRPr="00CD14A2" w:rsidRDefault="00464B7E" w:rsidP="00464B7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C3B3E" w14:textId="740A849F" w:rsidR="00464B7E" w:rsidRPr="00CD14A2" w:rsidRDefault="00464B7E" w:rsidP="00464B7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CD14A2" w:rsidRPr="00CD14A2">
              <w:rPr>
                <w:rFonts w:ascii="Tahoma" w:hAnsi="Tahoma" w:cs="Tahoma"/>
                <w:sz w:val="20"/>
                <w:szCs w:val="20"/>
              </w:rPr>
              <w:t>3</w:t>
            </w:r>
            <w:r w:rsidRPr="00CD14A2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98A13" w14:textId="47BA4196" w:rsidR="00464B7E" w:rsidRPr="00CD14A2" w:rsidRDefault="00464B7E" w:rsidP="00464B7E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CD14A2" w:rsidRPr="00CD14A2">
              <w:rPr>
                <w:rFonts w:ascii="Tahoma" w:hAnsi="Tahoma" w:cs="Tahoma"/>
                <w:sz w:val="20"/>
                <w:szCs w:val="20"/>
              </w:rPr>
              <w:t>3</w:t>
            </w:r>
            <w:r w:rsidRPr="00CD14A2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CD14A2" w:rsidRPr="00CD14A2" w14:paraId="282E3961" w14:textId="77777777" w:rsidTr="00092438">
        <w:trPr>
          <w:trHeight w:val="20"/>
          <w:jc w:val="center"/>
        </w:trPr>
        <w:tc>
          <w:tcPr>
            <w:tcW w:w="1210" w:type="dxa"/>
            <w:shd w:val="clear" w:color="auto" w:fill="auto"/>
          </w:tcPr>
          <w:p w14:paraId="218C9F74" w14:textId="62253529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>A100010</w:t>
            </w:r>
          </w:p>
        </w:tc>
        <w:tc>
          <w:tcPr>
            <w:tcW w:w="3618" w:type="dxa"/>
            <w:shd w:val="clear" w:color="auto" w:fill="auto"/>
          </w:tcPr>
          <w:p w14:paraId="2ACDEB5A" w14:textId="48753DEF" w:rsidR="00CD14A2" w:rsidRPr="00CD14A2" w:rsidRDefault="00CD14A2" w:rsidP="00CD14A2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 xml:space="preserve">Održavanje ostale komunalne infrastrukture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CA96BD" w14:textId="54D5E412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D14A2">
              <w:rPr>
                <w:rFonts w:ascii="Tahoma" w:hAnsi="Tahoma" w:cs="Tahoma"/>
                <w:b/>
                <w:sz w:val="20"/>
                <w:szCs w:val="20"/>
              </w:rPr>
              <w:t>6.693,00 €</w:t>
            </w:r>
          </w:p>
        </w:tc>
        <w:tc>
          <w:tcPr>
            <w:tcW w:w="1714" w:type="dxa"/>
            <w:vAlign w:val="center"/>
          </w:tcPr>
          <w:p w14:paraId="4F05AF98" w14:textId="787BB6A1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4.871,22 €</w:t>
            </w:r>
          </w:p>
        </w:tc>
      </w:tr>
      <w:tr w:rsidR="00CD14A2" w:rsidRPr="00CD14A2" w14:paraId="43EBB940" w14:textId="77777777" w:rsidTr="00817EEA">
        <w:trPr>
          <w:trHeight w:val="20"/>
          <w:jc w:val="center"/>
        </w:trPr>
        <w:tc>
          <w:tcPr>
            <w:tcW w:w="1210" w:type="dxa"/>
            <w:shd w:val="clear" w:color="auto" w:fill="auto"/>
          </w:tcPr>
          <w:p w14:paraId="105C0BF1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3642DDE4" w14:textId="2C9B761C" w:rsidR="00CD14A2" w:rsidRPr="00CD14A2" w:rsidRDefault="00CD14A2" w:rsidP="00CD14A2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Materijal i sredstva za održavanje javnih površina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47364A" w14:textId="630ED567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3.318,00 €</w:t>
            </w:r>
          </w:p>
        </w:tc>
        <w:tc>
          <w:tcPr>
            <w:tcW w:w="1714" w:type="dxa"/>
            <w:vAlign w:val="center"/>
          </w:tcPr>
          <w:p w14:paraId="4CFA9324" w14:textId="6599B4DE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1.496,22 €</w:t>
            </w:r>
          </w:p>
        </w:tc>
      </w:tr>
      <w:tr w:rsidR="00CD14A2" w:rsidRPr="00CD14A2" w14:paraId="3426916D" w14:textId="77777777" w:rsidTr="00817EEA">
        <w:trPr>
          <w:trHeight w:val="20"/>
          <w:jc w:val="center"/>
        </w:trPr>
        <w:tc>
          <w:tcPr>
            <w:tcW w:w="1210" w:type="dxa"/>
            <w:shd w:val="clear" w:color="auto" w:fill="auto"/>
          </w:tcPr>
          <w:p w14:paraId="452E98AD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27A4092E" w14:textId="4B1DCA53" w:rsidR="00CD14A2" w:rsidRPr="00CD14A2" w:rsidRDefault="00CD14A2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Usluge tekućeg održavanja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0E581" w14:textId="50E7C04C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sz w:val="20"/>
                <w:szCs w:val="20"/>
              </w:rPr>
              <w:t>3.375,00 €</w:t>
            </w:r>
          </w:p>
        </w:tc>
        <w:tc>
          <w:tcPr>
            <w:tcW w:w="1714" w:type="dxa"/>
            <w:vAlign w:val="center"/>
          </w:tcPr>
          <w:p w14:paraId="4C715DC1" w14:textId="505D461C" w:rsidR="00CD14A2" w:rsidRPr="00CD14A2" w:rsidRDefault="0036254C" w:rsidP="00CD14A2">
            <w:pPr>
              <w:pStyle w:val="Sadrajitablice"/>
              <w:jc w:val="righ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3.375,00 €</w:t>
            </w:r>
          </w:p>
        </w:tc>
      </w:tr>
      <w:tr w:rsidR="00CD14A2" w:rsidRPr="00CD14A2" w14:paraId="72F08780" w14:textId="77777777" w:rsidTr="00817EEA">
        <w:trPr>
          <w:trHeight w:val="20"/>
          <w:jc w:val="center"/>
        </w:trPr>
        <w:tc>
          <w:tcPr>
            <w:tcW w:w="1210" w:type="dxa"/>
            <w:shd w:val="clear" w:color="auto" w:fill="auto"/>
          </w:tcPr>
          <w:p w14:paraId="5A4DBE1A" w14:textId="77777777" w:rsidR="00CD14A2" w:rsidRPr="00CD14A2" w:rsidRDefault="00CD14A2" w:rsidP="00CD14A2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382E068" w14:textId="65C8FDE5" w:rsidR="00CD14A2" w:rsidRPr="00CD14A2" w:rsidRDefault="00CD14A2" w:rsidP="00CD14A2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CD14A2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E7E45F" w14:textId="5BF7390B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14:paraId="2131149D" w14:textId="77777777" w:rsidR="00CD14A2" w:rsidRPr="00CD14A2" w:rsidRDefault="00CD14A2" w:rsidP="00CD14A2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6A5D40B" w14:textId="699B6997" w:rsidR="00931707" w:rsidRPr="0036254C" w:rsidRDefault="00464B7E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2774A" w:rsidRPr="0036254C">
        <w:rPr>
          <w:rFonts w:ascii="Tahoma" w:hAnsi="Tahoma" w:cs="Tahoma"/>
          <w:sz w:val="24"/>
          <w:szCs w:val="24"/>
        </w:rPr>
        <w:t xml:space="preserve">Troškovi za održavanje javnih površina ostvareni su u iznosu od </w:t>
      </w:r>
      <w:r w:rsidR="0036254C" w:rsidRPr="0036254C">
        <w:rPr>
          <w:rFonts w:ascii="Tahoma" w:hAnsi="Tahoma" w:cs="Tahoma"/>
          <w:sz w:val="24"/>
          <w:szCs w:val="24"/>
        </w:rPr>
        <w:t>1.496,22</w:t>
      </w:r>
      <w:r w:rsidR="0022774A" w:rsidRPr="0036254C">
        <w:rPr>
          <w:rFonts w:ascii="Tahoma" w:hAnsi="Tahoma" w:cs="Tahoma"/>
          <w:sz w:val="24"/>
          <w:szCs w:val="24"/>
        </w:rPr>
        <w:t xml:space="preserve"> </w:t>
      </w:r>
      <w:r w:rsidR="0036254C" w:rsidRPr="0036254C">
        <w:rPr>
          <w:rFonts w:ascii="Tahoma" w:hAnsi="Tahoma" w:cs="Tahoma"/>
          <w:sz w:val="24"/>
          <w:szCs w:val="24"/>
        </w:rPr>
        <w:t>€</w:t>
      </w:r>
      <w:r w:rsidR="0022774A" w:rsidRPr="0036254C">
        <w:rPr>
          <w:rFonts w:ascii="Tahoma" w:hAnsi="Tahoma" w:cs="Tahoma"/>
          <w:sz w:val="24"/>
          <w:szCs w:val="24"/>
        </w:rPr>
        <w:t xml:space="preserve"> za materijal i dijelove za kosilice i trimere, te ostali materijal za potreba održavanja javnih površina. Javne površine u centru mjesta u pravilu su se čistile tjednom košnjom trave, uklanjanjem smeća i lišća, u centru se također obavljalo i hortikulturno uređenje javnih površina prema potrebama. </w:t>
      </w:r>
      <w:r w:rsidR="00775779" w:rsidRPr="0036254C">
        <w:rPr>
          <w:rFonts w:ascii="Tahoma" w:hAnsi="Tahoma" w:cs="Tahoma"/>
          <w:sz w:val="24"/>
          <w:szCs w:val="24"/>
        </w:rPr>
        <w:t xml:space="preserve">Redovita košnja trave i održavanje staza u groblju obavljali su se </w:t>
      </w:r>
      <w:r w:rsidR="00C86C8D" w:rsidRPr="0036254C">
        <w:rPr>
          <w:rFonts w:ascii="Tahoma" w:hAnsi="Tahoma" w:cs="Tahoma"/>
          <w:sz w:val="24"/>
          <w:szCs w:val="24"/>
        </w:rPr>
        <w:t>četiri</w:t>
      </w:r>
      <w:r w:rsidR="00775779" w:rsidRPr="0036254C">
        <w:rPr>
          <w:rFonts w:ascii="Tahoma" w:hAnsi="Tahoma" w:cs="Tahoma"/>
          <w:sz w:val="24"/>
          <w:szCs w:val="24"/>
        </w:rPr>
        <w:t xml:space="preserve"> puta </w:t>
      </w:r>
      <w:r w:rsidR="00C86C8D" w:rsidRPr="0036254C">
        <w:rPr>
          <w:rFonts w:ascii="Tahoma" w:hAnsi="Tahoma" w:cs="Tahoma"/>
          <w:sz w:val="24"/>
          <w:szCs w:val="24"/>
        </w:rPr>
        <w:t xml:space="preserve">tijekom godine na grobljima </w:t>
      </w:r>
      <w:proofErr w:type="spellStart"/>
      <w:r w:rsidR="00C86C8D" w:rsidRPr="0036254C">
        <w:rPr>
          <w:rFonts w:ascii="Tahoma" w:hAnsi="Tahoma" w:cs="Tahoma"/>
          <w:sz w:val="24"/>
          <w:szCs w:val="24"/>
        </w:rPr>
        <w:t>Sadikovac</w:t>
      </w:r>
      <w:proofErr w:type="spellEnd"/>
      <w:r w:rsidR="00C86C8D" w:rsidRPr="0036254C">
        <w:rPr>
          <w:rFonts w:ascii="Tahoma" w:hAnsi="Tahoma" w:cs="Tahoma"/>
          <w:sz w:val="24"/>
          <w:szCs w:val="24"/>
        </w:rPr>
        <w:t xml:space="preserve"> i Cetingrad</w:t>
      </w:r>
      <w:r w:rsidR="00775779" w:rsidRPr="0036254C">
        <w:rPr>
          <w:rFonts w:ascii="Tahoma" w:hAnsi="Tahoma" w:cs="Tahoma"/>
          <w:sz w:val="24"/>
          <w:szCs w:val="24"/>
        </w:rPr>
        <w:t>. Izvođeni su i drugi radovi uređenja javnih površina kao što su uređenje zelene površine oko Starog grada</w:t>
      </w:r>
      <w:r w:rsidR="00C86C8D" w:rsidRPr="0036254C">
        <w:rPr>
          <w:rFonts w:ascii="Tahoma" w:hAnsi="Tahoma" w:cs="Tahoma"/>
          <w:sz w:val="24"/>
          <w:szCs w:val="24"/>
        </w:rPr>
        <w:t xml:space="preserve"> (košnja i uklanjanje niskog i visokog raslinja</w:t>
      </w:r>
      <w:r w:rsidR="0005316D" w:rsidRPr="0036254C">
        <w:rPr>
          <w:rFonts w:ascii="Tahoma" w:hAnsi="Tahoma" w:cs="Tahoma"/>
          <w:sz w:val="24"/>
          <w:szCs w:val="24"/>
        </w:rPr>
        <w:t xml:space="preserve"> dva puta tokom prošle godine)</w:t>
      </w:r>
      <w:r w:rsidR="00775779" w:rsidRPr="0036254C">
        <w:rPr>
          <w:rFonts w:ascii="Tahoma" w:hAnsi="Tahoma" w:cs="Tahoma"/>
          <w:sz w:val="24"/>
          <w:szCs w:val="24"/>
        </w:rPr>
        <w:t>, oko spomenika kulture i ostali radovi prema ukazanim potrebama.</w:t>
      </w:r>
      <w:r w:rsidR="0005316D" w:rsidRPr="0036254C">
        <w:rPr>
          <w:rFonts w:ascii="Tahoma" w:hAnsi="Tahoma" w:cs="Tahoma"/>
          <w:sz w:val="24"/>
          <w:szCs w:val="24"/>
        </w:rPr>
        <w:t xml:space="preserve"> Sredstva u iznosu od 3.</w:t>
      </w:r>
      <w:r w:rsidR="0036254C" w:rsidRPr="0036254C">
        <w:rPr>
          <w:rFonts w:ascii="Tahoma" w:hAnsi="Tahoma" w:cs="Tahoma"/>
          <w:sz w:val="24"/>
          <w:szCs w:val="24"/>
        </w:rPr>
        <w:t>375</w:t>
      </w:r>
      <w:r w:rsidR="0005316D" w:rsidRPr="0036254C">
        <w:rPr>
          <w:rFonts w:ascii="Tahoma" w:hAnsi="Tahoma" w:cs="Tahoma"/>
          <w:sz w:val="24"/>
          <w:szCs w:val="24"/>
        </w:rPr>
        <w:t xml:space="preserve">,00 kn utrošena su na </w:t>
      </w:r>
      <w:r w:rsidR="0036254C" w:rsidRPr="0036254C">
        <w:rPr>
          <w:rFonts w:ascii="Tahoma" w:hAnsi="Tahoma" w:cs="Tahoma"/>
          <w:sz w:val="24"/>
          <w:szCs w:val="24"/>
        </w:rPr>
        <w:t>usluge remonta Božićnih ukrasa</w:t>
      </w:r>
      <w:r w:rsidR="0005316D" w:rsidRPr="0036254C">
        <w:rPr>
          <w:rFonts w:ascii="Tahoma" w:hAnsi="Tahoma" w:cs="Tahoma"/>
          <w:sz w:val="24"/>
          <w:szCs w:val="24"/>
        </w:rPr>
        <w:t>.</w:t>
      </w:r>
    </w:p>
    <w:p w14:paraId="6FFB329B" w14:textId="77777777" w:rsidR="0022774A" w:rsidRDefault="0022774A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2D16530" w14:textId="77777777" w:rsidR="0022774A" w:rsidRDefault="0022774A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623A61A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0A7E7BF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64725BFB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123FA4F9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EA89071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Marina </w:t>
      </w:r>
      <w:proofErr w:type="spellStart"/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Kalić</w:t>
      </w:r>
      <w:proofErr w:type="spellEnd"/>
    </w:p>
    <w:sectPr w:rsidR="00C44298" w:rsidRPr="00C44298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5316D"/>
    <w:rsid w:val="0006226D"/>
    <w:rsid w:val="000A56A1"/>
    <w:rsid w:val="000A5DE5"/>
    <w:rsid w:val="000D6676"/>
    <w:rsid w:val="000E6AA5"/>
    <w:rsid w:val="00134C8A"/>
    <w:rsid w:val="001470C8"/>
    <w:rsid w:val="00153AEC"/>
    <w:rsid w:val="00163EDF"/>
    <w:rsid w:val="00177F5A"/>
    <w:rsid w:val="001B4A63"/>
    <w:rsid w:val="0022774A"/>
    <w:rsid w:val="00245233"/>
    <w:rsid w:val="00254ACC"/>
    <w:rsid w:val="0026434B"/>
    <w:rsid w:val="002B2A55"/>
    <w:rsid w:val="002F5FE0"/>
    <w:rsid w:val="00302197"/>
    <w:rsid w:val="00302BD7"/>
    <w:rsid w:val="00312091"/>
    <w:rsid w:val="00342BAC"/>
    <w:rsid w:val="0035233A"/>
    <w:rsid w:val="00360212"/>
    <w:rsid w:val="0036254C"/>
    <w:rsid w:val="003853C7"/>
    <w:rsid w:val="003C57A9"/>
    <w:rsid w:val="003C606E"/>
    <w:rsid w:val="003D593A"/>
    <w:rsid w:val="003F490C"/>
    <w:rsid w:val="004236C2"/>
    <w:rsid w:val="00461D07"/>
    <w:rsid w:val="00464B7E"/>
    <w:rsid w:val="00473828"/>
    <w:rsid w:val="00477AE8"/>
    <w:rsid w:val="00495929"/>
    <w:rsid w:val="004C782F"/>
    <w:rsid w:val="004D7A0C"/>
    <w:rsid w:val="005357B0"/>
    <w:rsid w:val="00540A35"/>
    <w:rsid w:val="00647E49"/>
    <w:rsid w:val="00656BB2"/>
    <w:rsid w:val="00675BBA"/>
    <w:rsid w:val="00694042"/>
    <w:rsid w:val="006C07FC"/>
    <w:rsid w:val="006C4312"/>
    <w:rsid w:val="006E4BE9"/>
    <w:rsid w:val="007026A6"/>
    <w:rsid w:val="0074666B"/>
    <w:rsid w:val="00766F40"/>
    <w:rsid w:val="00775779"/>
    <w:rsid w:val="00795FB2"/>
    <w:rsid w:val="007A63E6"/>
    <w:rsid w:val="007C55E1"/>
    <w:rsid w:val="007E1CD3"/>
    <w:rsid w:val="007F78B4"/>
    <w:rsid w:val="008068E3"/>
    <w:rsid w:val="00817EEA"/>
    <w:rsid w:val="00876B73"/>
    <w:rsid w:val="00882215"/>
    <w:rsid w:val="008B3457"/>
    <w:rsid w:val="008C3CF2"/>
    <w:rsid w:val="008C79D7"/>
    <w:rsid w:val="008D13A0"/>
    <w:rsid w:val="008E3069"/>
    <w:rsid w:val="00931707"/>
    <w:rsid w:val="00942BA7"/>
    <w:rsid w:val="0096266D"/>
    <w:rsid w:val="00967E34"/>
    <w:rsid w:val="00A147EB"/>
    <w:rsid w:val="00A5385F"/>
    <w:rsid w:val="00A71202"/>
    <w:rsid w:val="00AC1DD9"/>
    <w:rsid w:val="00AD1025"/>
    <w:rsid w:val="00B13BDA"/>
    <w:rsid w:val="00B3389F"/>
    <w:rsid w:val="00B60BA4"/>
    <w:rsid w:val="00C04E8E"/>
    <w:rsid w:val="00C44298"/>
    <w:rsid w:val="00C56E47"/>
    <w:rsid w:val="00C67CAF"/>
    <w:rsid w:val="00C86C8D"/>
    <w:rsid w:val="00CC2808"/>
    <w:rsid w:val="00CC3591"/>
    <w:rsid w:val="00CD14A2"/>
    <w:rsid w:val="00CE52A0"/>
    <w:rsid w:val="00D34A0D"/>
    <w:rsid w:val="00D52A6F"/>
    <w:rsid w:val="00D67BAF"/>
    <w:rsid w:val="00D72186"/>
    <w:rsid w:val="00D84317"/>
    <w:rsid w:val="00DD6AB7"/>
    <w:rsid w:val="00DF314E"/>
    <w:rsid w:val="00E02AFD"/>
    <w:rsid w:val="00E37341"/>
    <w:rsid w:val="00E841D0"/>
    <w:rsid w:val="00EC2402"/>
    <w:rsid w:val="00F0008E"/>
    <w:rsid w:val="00F2350E"/>
    <w:rsid w:val="00F41ED8"/>
    <w:rsid w:val="00F7393F"/>
    <w:rsid w:val="00FE77A0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3A560EB"/>
  <w15:docId w15:val="{77D547F1-70B9-4CEE-A8C7-B099A88B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6</cp:revision>
  <cp:lastPrinted>2024-05-29T06:57:00Z</cp:lastPrinted>
  <dcterms:created xsi:type="dcterms:W3CDTF">2024-05-14T11:38:00Z</dcterms:created>
  <dcterms:modified xsi:type="dcterms:W3CDTF">2024-05-29T06:57:00Z</dcterms:modified>
</cp:coreProperties>
</file>